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66DF20E9" w:rsidR="00D3224B" w:rsidRPr="00D73FB1" w:rsidRDefault="003712BD" w:rsidP="00641DB1">
      <w:pPr>
        <w:pStyle w:val="Heading1"/>
        <w:spacing w:line="240" w:lineRule="auto"/>
      </w:pPr>
      <w:r w:rsidRPr="00D73FB1">
        <w:t xml:space="preserve">4. </w:t>
      </w:r>
      <w:hyperlink r:id="rId7" w:history="1">
        <w:r w:rsidRPr="00D73FB1">
          <w:rPr>
            <w:rStyle w:val="Hyperlink"/>
            <w:color w:val="auto"/>
            <w:u w:val="none"/>
          </w:rPr>
          <w:t>EQUITABLE RISK ALLOCATION (RS210-1)</w:t>
        </w:r>
      </w:hyperlink>
    </w:p>
    <w:p w14:paraId="0FA50DF0" w14:textId="77777777" w:rsidR="003712BD" w:rsidRDefault="003712BD" w:rsidP="00641DB1">
      <w:pPr>
        <w:spacing w:after="0" w:line="240" w:lineRule="auto"/>
        <w:rPr>
          <w:rFonts w:cs="Times New Roman"/>
          <w:b/>
          <w:bCs/>
          <w:sz w:val="24"/>
          <w:szCs w:val="24"/>
        </w:rPr>
      </w:pPr>
    </w:p>
    <w:p w14:paraId="634EB582" w14:textId="77777777" w:rsidR="006754B4" w:rsidRPr="006754B4" w:rsidRDefault="001C5D88" w:rsidP="00641DB1">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6754B4" w:rsidRPr="006754B4">
        <w:rPr>
          <w:sz w:val="24"/>
          <w:szCs w:val="24"/>
          <w:lang w:eastAsia="zh-CN"/>
        </w:rPr>
        <w:t xml:space="preserve">The research team developed the “Two-Party Risk Assessment and Allocation Model” that encourages contracting parties to compromise during the risk allocation process. It is designed to assess and allocate risk before project execution so that risk management efforts are minimized. </w:t>
      </w:r>
    </w:p>
    <w:p w14:paraId="5D96304A" w14:textId="77777777" w:rsidR="006754B4" w:rsidRPr="006754B4" w:rsidRDefault="006754B4" w:rsidP="00641DB1">
      <w:pPr>
        <w:pStyle w:val="NoSpacing"/>
        <w:jc w:val="both"/>
        <w:rPr>
          <w:sz w:val="24"/>
          <w:szCs w:val="24"/>
          <w:lang w:eastAsia="zh-CN"/>
        </w:rPr>
      </w:pPr>
    </w:p>
    <w:p w14:paraId="58702634" w14:textId="65C76E95" w:rsidR="001C5D88" w:rsidRDefault="006754B4" w:rsidP="00641DB1">
      <w:pPr>
        <w:pStyle w:val="NoSpacing"/>
        <w:jc w:val="both"/>
        <w:rPr>
          <w:sz w:val="24"/>
          <w:szCs w:val="24"/>
          <w:lang w:eastAsia="zh-CN"/>
        </w:rPr>
      </w:pPr>
      <w:r w:rsidRPr="006754B4">
        <w:rPr>
          <w:sz w:val="24"/>
          <w:szCs w:val="24"/>
          <w:lang w:eastAsia="zh-CN"/>
        </w:rPr>
        <w:t>The model is important because it facilitates involvement from any two contracting parties early in a project and helps in appropriately allocating each particular risk to the party that is best equipped to handle it.</w:t>
      </w:r>
    </w:p>
    <w:p w14:paraId="0C7ACCEF" w14:textId="77777777" w:rsidR="00A00EE1" w:rsidRDefault="00A00EE1" w:rsidP="00641DB1">
      <w:pPr>
        <w:pStyle w:val="NoSpacing"/>
        <w:jc w:val="both"/>
        <w:rPr>
          <w:sz w:val="24"/>
          <w:szCs w:val="24"/>
          <w:lang w:eastAsia="zh-CN"/>
        </w:rPr>
      </w:pPr>
    </w:p>
    <w:p w14:paraId="55EC5C84" w14:textId="26E05449" w:rsidR="001C5D88" w:rsidRPr="00D73FB1" w:rsidRDefault="001C5D88" w:rsidP="00641DB1">
      <w:pPr>
        <w:pStyle w:val="NoSpacing"/>
        <w:jc w:val="both"/>
        <w:rPr>
          <w:rFonts w:cs="Times New Roman"/>
          <w:b/>
          <w:bCs/>
          <w:sz w:val="28"/>
          <w:szCs w:val="28"/>
          <w:u w:val="single"/>
          <w:lang w:eastAsia="zh-CN"/>
        </w:rPr>
      </w:pPr>
      <w:r>
        <w:rPr>
          <w:b/>
          <w:bCs/>
          <w:sz w:val="24"/>
          <w:szCs w:val="24"/>
          <w:u w:val="single"/>
          <w:lang w:eastAsia="zh-CN"/>
        </w:rPr>
        <w:t>Key Takeaways:</w:t>
      </w:r>
    </w:p>
    <w:p w14:paraId="3068CB0E" w14:textId="7651903F" w:rsidR="003712BD" w:rsidRDefault="003712BD" w:rsidP="00641DB1">
      <w:pPr>
        <w:pStyle w:val="Heading2"/>
        <w:spacing w:before="0" w:after="0" w:line="240" w:lineRule="auto"/>
        <w:rPr>
          <w:color w:val="auto"/>
        </w:rPr>
      </w:pPr>
      <w:r>
        <w:rPr>
          <w:color w:val="auto"/>
        </w:rPr>
        <w:t>(1) The Equitable Risk Allocation model d</w:t>
      </w:r>
      <w:r w:rsidR="0009338D" w:rsidRPr="003712BD">
        <w:rPr>
          <w:color w:val="auto"/>
        </w:rPr>
        <w:t>ouble</w:t>
      </w:r>
      <w:r>
        <w:rPr>
          <w:color w:val="auto"/>
        </w:rPr>
        <w:t>s</w:t>
      </w:r>
      <w:r w:rsidR="0009338D" w:rsidRPr="003712BD">
        <w:rPr>
          <w:color w:val="auto"/>
        </w:rPr>
        <w:t xml:space="preserve"> as </w:t>
      </w:r>
      <w:r>
        <w:rPr>
          <w:color w:val="auto"/>
        </w:rPr>
        <w:t xml:space="preserve">a </w:t>
      </w:r>
      <w:r w:rsidRPr="003712BD">
        <w:rPr>
          <w:color w:val="auto"/>
        </w:rPr>
        <w:t>risk learning tool</w:t>
      </w:r>
      <w:r>
        <w:rPr>
          <w:color w:val="auto"/>
        </w:rPr>
        <w:t>.</w:t>
      </w:r>
    </w:p>
    <w:p w14:paraId="0D94ACD9" w14:textId="34C2CE15" w:rsidR="00830C78" w:rsidRPr="003712BD" w:rsidRDefault="001F6ECD" w:rsidP="00641DB1">
      <w:pPr>
        <w:pStyle w:val="Heading2"/>
        <w:spacing w:before="0" w:after="0" w:line="240" w:lineRule="auto"/>
        <w:ind w:firstLine="360"/>
        <w:rPr>
          <w:color w:val="auto"/>
        </w:rPr>
      </w:pPr>
      <w:r w:rsidRPr="003712BD">
        <w:rPr>
          <w:color w:val="auto"/>
        </w:rPr>
        <w:t>(Project Phase:</w:t>
      </w:r>
      <w:r w:rsidR="00425510" w:rsidRPr="003712BD">
        <w:rPr>
          <w:color w:val="auto"/>
        </w:rPr>
        <w:t xml:space="preserve"> Feasibility through Construction</w:t>
      </w:r>
      <w:r w:rsidRPr="003712BD">
        <w:rPr>
          <w:color w:val="auto"/>
        </w:rPr>
        <w:t>)</w:t>
      </w:r>
    </w:p>
    <w:p w14:paraId="533E3644" w14:textId="3217AD02" w:rsidR="006801AC" w:rsidRPr="003712BD" w:rsidRDefault="006801AC" w:rsidP="00641DB1">
      <w:pPr>
        <w:pStyle w:val="ListParagraph"/>
        <w:numPr>
          <w:ilvl w:val="0"/>
          <w:numId w:val="46"/>
        </w:numPr>
        <w:spacing w:after="0" w:line="240" w:lineRule="auto"/>
        <w:rPr>
          <w:rFonts w:cs="Times New Roman"/>
          <w:sz w:val="24"/>
          <w:szCs w:val="24"/>
        </w:rPr>
      </w:pPr>
      <w:r w:rsidRPr="003712BD">
        <w:rPr>
          <w:rFonts w:cs="Times New Roman"/>
          <w:sz w:val="24"/>
          <w:szCs w:val="24"/>
        </w:rPr>
        <w:t xml:space="preserve">Implement training sessions using the </w:t>
      </w:r>
      <w:r w:rsidR="003712BD">
        <w:rPr>
          <w:rFonts w:cs="Times New Roman"/>
          <w:sz w:val="24"/>
          <w:szCs w:val="24"/>
        </w:rPr>
        <w:t xml:space="preserve">Equitable Risk Allocation </w:t>
      </w:r>
      <w:r w:rsidRPr="003712BD">
        <w:rPr>
          <w:rFonts w:cs="Times New Roman"/>
          <w:sz w:val="24"/>
          <w:szCs w:val="24"/>
        </w:rPr>
        <w:t xml:space="preserve">model to educate project teams </w:t>
      </w:r>
      <w:r w:rsidR="003712BD">
        <w:rPr>
          <w:rFonts w:cs="Times New Roman"/>
          <w:sz w:val="24"/>
          <w:szCs w:val="24"/>
        </w:rPr>
        <w:t>about</w:t>
      </w:r>
      <w:r w:rsidRPr="003712BD">
        <w:rPr>
          <w:rFonts w:cs="Times New Roman"/>
          <w:sz w:val="24"/>
          <w:szCs w:val="24"/>
        </w:rPr>
        <w:t xml:space="preserve"> risk allocation from both </w:t>
      </w:r>
      <w:r w:rsidR="003712BD">
        <w:rPr>
          <w:rFonts w:cs="Times New Roman"/>
          <w:sz w:val="24"/>
          <w:szCs w:val="24"/>
        </w:rPr>
        <w:t xml:space="preserve">the </w:t>
      </w:r>
      <w:r w:rsidRPr="003712BD">
        <w:rPr>
          <w:rFonts w:cs="Times New Roman"/>
          <w:sz w:val="24"/>
          <w:szCs w:val="24"/>
        </w:rPr>
        <w:t>business and legal perspectives​.</w:t>
      </w:r>
    </w:p>
    <w:p w14:paraId="14B4A1CD" w14:textId="0C6CBDF3" w:rsidR="006801AC" w:rsidRPr="003712BD" w:rsidRDefault="006801AC" w:rsidP="00641DB1">
      <w:pPr>
        <w:pStyle w:val="ListParagraph"/>
        <w:numPr>
          <w:ilvl w:val="0"/>
          <w:numId w:val="46"/>
        </w:numPr>
        <w:spacing w:after="0" w:line="240" w:lineRule="auto"/>
        <w:rPr>
          <w:rFonts w:cs="Times New Roman"/>
          <w:sz w:val="24"/>
          <w:szCs w:val="24"/>
        </w:rPr>
      </w:pPr>
      <w:r w:rsidRPr="003712BD">
        <w:rPr>
          <w:rFonts w:cs="Times New Roman"/>
          <w:sz w:val="24"/>
          <w:szCs w:val="24"/>
        </w:rPr>
        <w:t>Use the model's worksheets</w:t>
      </w:r>
      <w:r w:rsidR="003712BD">
        <w:rPr>
          <w:rFonts w:cs="Times New Roman"/>
          <w:sz w:val="24"/>
          <w:szCs w:val="24"/>
        </w:rPr>
        <w:t xml:space="preserve"> </w:t>
      </w:r>
      <w:r w:rsidRPr="003712BD">
        <w:rPr>
          <w:rFonts w:cs="Times New Roman"/>
          <w:sz w:val="24"/>
          <w:szCs w:val="24"/>
        </w:rPr>
        <w:t>to identify and evaluate project-specific risks collaboratively between parties​.</w:t>
      </w:r>
    </w:p>
    <w:p w14:paraId="70AFF9CE" w14:textId="50758F02" w:rsidR="006801AC" w:rsidRPr="003712BD" w:rsidRDefault="006801AC" w:rsidP="00641DB1">
      <w:pPr>
        <w:pStyle w:val="ListParagraph"/>
        <w:numPr>
          <w:ilvl w:val="0"/>
          <w:numId w:val="46"/>
        </w:numPr>
        <w:spacing w:after="0" w:line="240" w:lineRule="auto"/>
        <w:rPr>
          <w:rFonts w:cs="Times New Roman"/>
          <w:sz w:val="24"/>
          <w:szCs w:val="24"/>
        </w:rPr>
      </w:pPr>
      <w:r w:rsidRPr="003712BD">
        <w:rPr>
          <w:rFonts w:cs="Times New Roman"/>
          <w:sz w:val="24"/>
          <w:szCs w:val="24"/>
        </w:rPr>
        <w:t xml:space="preserve">Apply decision trees to guide </w:t>
      </w:r>
      <w:r w:rsidR="003712BD">
        <w:rPr>
          <w:rFonts w:cs="Times New Roman"/>
          <w:sz w:val="24"/>
          <w:szCs w:val="24"/>
        </w:rPr>
        <w:t xml:space="preserve">the </w:t>
      </w:r>
      <w:r w:rsidRPr="003712BD">
        <w:rPr>
          <w:rFonts w:cs="Times New Roman"/>
          <w:sz w:val="24"/>
          <w:szCs w:val="24"/>
        </w:rPr>
        <w:t>parties in making informed risk allocation choices based on individual project conditions​.</w:t>
      </w:r>
    </w:p>
    <w:p w14:paraId="2A0F46DA" w14:textId="509CC813" w:rsidR="006801AC" w:rsidRPr="003712BD" w:rsidRDefault="006801AC" w:rsidP="00641DB1">
      <w:pPr>
        <w:pStyle w:val="ListParagraph"/>
        <w:numPr>
          <w:ilvl w:val="0"/>
          <w:numId w:val="46"/>
        </w:numPr>
        <w:spacing w:after="0" w:line="240" w:lineRule="auto"/>
        <w:rPr>
          <w:rFonts w:cs="Times New Roman"/>
          <w:sz w:val="24"/>
          <w:szCs w:val="24"/>
        </w:rPr>
      </w:pPr>
      <w:r w:rsidRPr="003712BD">
        <w:rPr>
          <w:rFonts w:cs="Times New Roman"/>
          <w:sz w:val="24"/>
          <w:szCs w:val="24"/>
        </w:rPr>
        <w:t>Conduct internal alignment exercises within each party to prepare for two-party risk assessment and cooperative discussions.</w:t>
      </w:r>
    </w:p>
    <w:p w14:paraId="082EF601" w14:textId="418B893B" w:rsidR="006801AC" w:rsidRDefault="006801AC" w:rsidP="00641DB1">
      <w:pPr>
        <w:pStyle w:val="ListParagraph"/>
        <w:numPr>
          <w:ilvl w:val="0"/>
          <w:numId w:val="46"/>
        </w:numPr>
        <w:spacing w:after="0" w:line="240" w:lineRule="auto"/>
        <w:rPr>
          <w:rFonts w:cs="Times New Roman"/>
          <w:sz w:val="24"/>
          <w:szCs w:val="24"/>
        </w:rPr>
      </w:pPr>
      <w:r w:rsidRPr="003712BD">
        <w:rPr>
          <w:rFonts w:cs="Times New Roman"/>
          <w:sz w:val="24"/>
          <w:szCs w:val="24"/>
        </w:rPr>
        <w:t xml:space="preserve">Utilize contract language tables and legal research to address identified </w:t>
      </w:r>
      <w:r w:rsidR="003712BD">
        <w:rPr>
          <w:rFonts w:cs="Times New Roman"/>
          <w:sz w:val="24"/>
          <w:szCs w:val="24"/>
        </w:rPr>
        <w:t>‘</w:t>
      </w:r>
      <w:proofErr w:type="gramStart"/>
      <w:r w:rsidRPr="003712BD">
        <w:rPr>
          <w:rFonts w:cs="Times New Roman"/>
          <w:sz w:val="24"/>
          <w:szCs w:val="24"/>
        </w:rPr>
        <w:t>hot-button</w:t>
      </w:r>
      <w:proofErr w:type="gramEnd"/>
      <w:r w:rsidR="003712BD">
        <w:rPr>
          <w:rFonts w:cs="Times New Roman"/>
          <w:sz w:val="24"/>
          <w:szCs w:val="24"/>
        </w:rPr>
        <w:t>’</w:t>
      </w:r>
      <w:r w:rsidRPr="003712BD">
        <w:rPr>
          <w:rFonts w:cs="Times New Roman"/>
          <w:sz w:val="24"/>
          <w:szCs w:val="24"/>
        </w:rPr>
        <w:t xml:space="preserve"> risks </w:t>
      </w:r>
      <w:r w:rsidR="003712BD">
        <w:rPr>
          <w:rFonts w:cs="Times New Roman"/>
          <w:sz w:val="24"/>
          <w:szCs w:val="24"/>
        </w:rPr>
        <w:t xml:space="preserve">to </w:t>
      </w:r>
      <w:r w:rsidRPr="003712BD">
        <w:rPr>
          <w:rFonts w:cs="Times New Roman"/>
          <w:sz w:val="24"/>
          <w:szCs w:val="24"/>
        </w:rPr>
        <w:t>ensur</w:t>
      </w:r>
      <w:r w:rsidR="003712BD">
        <w:rPr>
          <w:rFonts w:cs="Times New Roman"/>
          <w:sz w:val="24"/>
          <w:szCs w:val="24"/>
        </w:rPr>
        <w:t>e</w:t>
      </w:r>
      <w:r w:rsidRPr="003712BD">
        <w:rPr>
          <w:rFonts w:cs="Times New Roman"/>
          <w:sz w:val="24"/>
          <w:szCs w:val="24"/>
        </w:rPr>
        <w:t xml:space="preserve"> balanced and enforceable agreements​.</w:t>
      </w:r>
    </w:p>
    <w:p w14:paraId="5B45CBDD" w14:textId="77777777" w:rsidR="003712BD" w:rsidRPr="003712BD" w:rsidRDefault="003712BD" w:rsidP="00641DB1">
      <w:pPr>
        <w:pStyle w:val="ListParagraph"/>
        <w:spacing w:after="0" w:line="240" w:lineRule="auto"/>
        <w:rPr>
          <w:rFonts w:cs="Times New Roman"/>
          <w:sz w:val="24"/>
          <w:szCs w:val="24"/>
        </w:rPr>
      </w:pPr>
    </w:p>
    <w:p w14:paraId="7F314B34" w14:textId="64296B14" w:rsidR="003712BD" w:rsidRDefault="003712BD" w:rsidP="00641DB1">
      <w:pPr>
        <w:pStyle w:val="Heading2"/>
        <w:spacing w:before="0" w:after="0" w:line="240" w:lineRule="auto"/>
        <w:rPr>
          <w:color w:val="auto"/>
        </w:rPr>
      </w:pPr>
      <w:r>
        <w:rPr>
          <w:color w:val="auto"/>
        </w:rPr>
        <w:t>(2) F</w:t>
      </w:r>
      <w:r w:rsidR="0082144E" w:rsidRPr="003712BD">
        <w:rPr>
          <w:color w:val="auto"/>
        </w:rPr>
        <w:t xml:space="preserve">acilitate </w:t>
      </w:r>
      <w:r w:rsidRPr="003712BD">
        <w:rPr>
          <w:color w:val="auto"/>
        </w:rPr>
        <w:t>internal and external risk alignment</w:t>
      </w:r>
      <w:r>
        <w:rPr>
          <w:color w:val="auto"/>
        </w:rPr>
        <w:t>.</w:t>
      </w:r>
      <w:r w:rsidRPr="003712BD">
        <w:rPr>
          <w:color w:val="auto"/>
        </w:rPr>
        <w:t xml:space="preserve"> </w:t>
      </w:r>
    </w:p>
    <w:p w14:paraId="21A6095E" w14:textId="1FF7C445" w:rsidR="00830C78" w:rsidRPr="003712BD" w:rsidRDefault="00B043AF" w:rsidP="00641DB1">
      <w:pPr>
        <w:pStyle w:val="Heading2"/>
        <w:spacing w:before="0" w:after="0" w:line="240" w:lineRule="auto"/>
        <w:ind w:firstLine="360"/>
        <w:rPr>
          <w:color w:val="auto"/>
        </w:rPr>
      </w:pPr>
      <w:r w:rsidRPr="003712BD">
        <w:rPr>
          <w:color w:val="auto"/>
        </w:rPr>
        <w:t>(</w:t>
      </w:r>
      <w:r w:rsidR="00DA085F" w:rsidRPr="003712BD">
        <w:rPr>
          <w:color w:val="auto"/>
        </w:rPr>
        <w:t>Project Phase:</w:t>
      </w:r>
      <w:r w:rsidR="00425510" w:rsidRPr="003712BD">
        <w:rPr>
          <w:color w:val="auto"/>
        </w:rPr>
        <w:t xml:space="preserve"> Feasibility through </w:t>
      </w:r>
      <w:r w:rsidR="00EA5343" w:rsidRPr="003712BD">
        <w:rPr>
          <w:color w:val="auto"/>
        </w:rPr>
        <w:t>Operate Facility</w:t>
      </w:r>
      <w:r w:rsidR="00DA085F" w:rsidRPr="003712BD">
        <w:rPr>
          <w:color w:val="auto"/>
        </w:rPr>
        <w:t>)</w:t>
      </w:r>
    </w:p>
    <w:p w14:paraId="538468CA" w14:textId="7DB40CC9" w:rsidR="00C706FA" w:rsidRPr="003712BD" w:rsidRDefault="00C706FA" w:rsidP="00641DB1">
      <w:pPr>
        <w:pStyle w:val="ListParagraph"/>
        <w:numPr>
          <w:ilvl w:val="0"/>
          <w:numId w:val="47"/>
        </w:numPr>
        <w:spacing w:after="0" w:line="240" w:lineRule="auto"/>
        <w:rPr>
          <w:rFonts w:cs="Times New Roman"/>
          <w:sz w:val="24"/>
          <w:szCs w:val="24"/>
        </w:rPr>
      </w:pPr>
      <w:r w:rsidRPr="003712BD">
        <w:rPr>
          <w:rFonts w:cs="Times New Roman"/>
          <w:sz w:val="24"/>
          <w:szCs w:val="24"/>
        </w:rPr>
        <w:t xml:space="preserve">Conduct internal risk assessments </w:t>
      </w:r>
      <w:r w:rsidR="003712BD">
        <w:rPr>
          <w:rFonts w:cs="Times New Roman"/>
          <w:sz w:val="24"/>
          <w:szCs w:val="24"/>
        </w:rPr>
        <w:t>using</w:t>
      </w:r>
      <w:r w:rsidRPr="003712BD">
        <w:rPr>
          <w:rFonts w:cs="Times New Roman"/>
          <w:sz w:val="24"/>
          <w:szCs w:val="24"/>
        </w:rPr>
        <w:t xml:space="preserve"> </w:t>
      </w:r>
      <w:r w:rsidR="00013077">
        <w:rPr>
          <w:rFonts w:cs="Times New Roman"/>
          <w:sz w:val="24"/>
          <w:szCs w:val="24"/>
        </w:rPr>
        <w:t>the</w:t>
      </w:r>
      <w:r w:rsidRPr="003712BD">
        <w:rPr>
          <w:rFonts w:cs="Times New Roman"/>
          <w:sz w:val="24"/>
          <w:szCs w:val="24"/>
        </w:rPr>
        <w:t xml:space="preserve"> single-party worksheet to ensure alignment on risk allocation goals before engaging in external negotiations.</w:t>
      </w:r>
    </w:p>
    <w:p w14:paraId="19B50040" w14:textId="20040D2D" w:rsidR="00C706FA" w:rsidRPr="003712BD" w:rsidRDefault="00C706FA" w:rsidP="00641DB1">
      <w:pPr>
        <w:pStyle w:val="ListParagraph"/>
        <w:numPr>
          <w:ilvl w:val="0"/>
          <w:numId w:val="47"/>
        </w:numPr>
        <w:spacing w:after="0" w:line="240" w:lineRule="auto"/>
        <w:rPr>
          <w:rFonts w:cs="Times New Roman"/>
          <w:sz w:val="24"/>
          <w:szCs w:val="24"/>
        </w:rPr>
      </w:pPr>
      <w:r w:rsidRPr="003712BD">
        <w:rPr>
          <w:rFonts w:cs="Times New Roman"/>
          <w:sz w:val="24"/>
          <w:szCs w:val="24"/>
        </w:rPr>
        <w:t xml:space="preserve">Establish a collaborative risk identification session to capture project-specific risks and prevent oversights </w:t>
      </w:r>
      <w:r w:rsidR="003712BD">
        <w:rPr>
          <w:rFonts w:cs="Times New Roman"/>
          <w:sz w:val="24"/>
          <w:szCs w:val="24"/>
        </w:rPr>
        <w:t>prior to</w:t>
      </w:r>
      <w:r w:rsidRPr="003712BD">
        <w:rPr>
          <w:rFonts w:cs="Times New Roman"/>
          <w:sz w:val="24"/>
          <w:szCs w:val="24"/>
        </w:rPr>
        <w:t xml:space="preserve"> </w:t>
      </w:r>
      <w:r w:rsidR="00013077">
        <w:rPr>
          <w:rFonts w:cs="Times New Roman"/>
          <w:sz w:val="24"/>
          <w:szCs w:val="24"/>
        </w:rPr>
        <w:t xml:space="preserve">making </w:t>
      </w:r>
      <w:r w:rsidRPr="003712BD">
        <w:rPr>
          <w:rFonts w:cs="Times New Roman"/>
          <w:sz w:val="24"/>
          <w:szCs w:val="24"/>
        </w:rPr>
        <w:t>two-party assessments.</w:t>
      </w:r>
    </w:p>
    <w:p w14:paraId="4FD75C2F" w14:textId="1BAE990C" w:rsidR="00C706FA" w:rsidRPr="003712BD" w:rsidRDefault="00C706FA" w:rsidP="00641DB1">
      <w:pPr>
        <w:pStyle w:val="ListParagraph"/>
        <w:numPr>
          <w:ilvl w:val="0"/>
          <w:numId w:val="47"/>
        </w:numPr>
        <w:spacing w:after="0" w:line="240" w:lineRule="auto"/>
        <w:rPr>
          <w:rFonts w:cs="Times New Roman"/>
          <w:sz w:val="24"/>
          <w:szCs w:val="24"/>
        </w:rPr>
      </w:pPr>
      <w:r w:rsidRPr="003712BD">
        <w:rPr>
          <w:rFonts w:cs="Times New Roman"/>
          <w:sz w:val="24"/>
          <w:szCs w:val="24"/>
        </w:rPr>
        <w:t xml:space="preserve">Utilize the two-party worksheet to compare internal risk ratings, identify discrepancies, and align risk priorities between </w:t>
      </w:r>
      <w:r w:rsidR="003712BD">
        <w:rPr>
          <w:rFonts w:cs="Times New Roman"/>
          <w:sz w:val="24"/>
          <w:szCs w:val="24"/>
        </w:rPr>
        <w:t xml:space="preserve">the </w:t>
      </w:r>
      <w:r w:rsidRPr="003712BD">
        <w:rPr>
          <w:rFonts w:cs="Times New Roman"/>
          <w:sz w:val="24"/>
          <w:szCs w:val="24"/>
        </w:rPr>
        <w:t>contracting entities​.</w:t>
      </w:r>
    </w:p>
    <w:p w14:paraId="13F8551D" w14:textId="0B9F0FC0" w:rsidR="00C706FA" w:rsidRPr="003712BD" w:rsidRDefault="00C706FA" w:rsidP="00641DB1">
      <w:pPr>
        <w:pStyle w:val="ListParagraph"/>
        <w:numPr>
          <w:ilvl w:val="0"/>
          <w:numId w:val="47"/>
        </w:numPr>
        <w:spacing w:after="0" w:line="240" w:lineRule="auto"/>
        <w:rPr>
          <w:rFonts w:cs="Times New Roman"/>
          <w:sz w:val="24"/>
          <w:szCs w:val="24"/>
        </w:rPr>
      </w:pPr>
      <w:r w:rsidRPr="003712BD">
        <w:rPr>
          <w:rFonts w:cs="Times New Roman"/>
          <w:sz w:val="24"/>
          <w:szCs w:val="24"/>
        </w:rPr>
        <w:t xml:space="preserve">Engage legal and contracting experts to review critical risks </w:t>
      </w:r>
      <w:r w:rsidR="003712BD">
        <w:rPr>
          <w:rFonts w:cs="Times New Roman"/>
          <w:sz w:val="24"/>
          <w:szCs w:val="24"/>
        </w:rPr>
        <w:t>that have</w:t>
      </w:r>
      <w:r w:rsidRPr="003712BD">
        <w:rPr>
          <w:rFonts w:cs="Times New Roman"/>
          <w:sz w:val="24"/>
          <w:szCs w:val="24"/>
        </w:rPr>
        <w:t xml:space="preserve"> high rating disagreements for optimal allocation and fair contract terms​.</w:t>
      </w:r>
    </w:p>
    <w:p w14:paraId="6157BD3B" w14:textId="77777777" w:rsidR="003712BD" w:rsidRDefault="00C706FA" w:rsidP="00641DB1">
      <w:pPr>
        <w:pStyle w:val="ListParagraph"/>
        <w:numPr>
          <w:ilvl w:val="0"/>
          <w:numId w:val="47"/>
        </w:numPr>
        <w:spacing w:after="0" w:line="240" w:lineRule="auto"/>
        <w:rPr>
          <w:rFonts w:cs="Times New Roman"/>
          <w:sz w:val="24"/>
          <w:szCs w:val="24"/>
        </w:rPr>
      </w:pPr>
      <w:r w:rsidRPr="003712BD">
        <w:rPr>
          <w:rFonts w:cs="Times New Roman"/>
          <w:sz w:val="24"/>
          <w:szCs w:val="24"/>
        </w:rPr>
        <w:t xml:space="preserve">Monitor and adjust risk strategies through iterative feedback </w:t>
      </w:r>
      <w:r w:rsidR="003712BD">
        <w:rPr>
          <w:rFonts w:cs="Times New Roman"/>
          <w:sz w:val="24"/>
          <w:szCs w:val="24"/>
        </w:rPr>
        <w:t xml:space="preserve">obtained </w:t>
      </w:r>
      <w:r w:rsidRPr="003712BD">
        <w:rPr>
          <w:rFonts w:cs="Times New Roman"/>
          <w:sz w:val="24"/>
          <w:szCs w:val="24"/>
        </w:rPr>
        <w:t xml:space="preserve">from </w:t>
      </w:r>
      <w:r w:rsidR="003712BD">
        <w:rPr>
          <w:rFonts w:cs="Times New Roman"/>
          <w:sz w:val="24"/>
          <w:szCs w:val="24"/>
        </w:rPr>
        <w:t xml:space="preserve">the </w:t>
      </w:r>
      <w:r w:rsidRPr="003712BD">
        <w:rPr>
          <w:rFonts w:cs="Times New Roman"/>
          <w:sz w:val="24"/>
          <w:szCs w:val="24"/>
        </w:rPr>
        <w:t xml:space="preserve">two-party assessments to enhance alignment </w:t>
      </w:r>
      <w:r w:rsidR="003712BD" w:rsidRPr="003712BD">
        <w:rPr>
          <w:rFonts w:cs="Times New Roman"/>
          <w:sz w:val="24"/>
          <w:szCs w:val="24"/>
        </w:rPr>
        <w:t xml:space="preserve">continuously </w:t>
      </w:r>
      <w:r w:rsidRPr="003712BD">
        <w:rPr>
          <w:rFonts w:cs="Times New Roman"/>
          <w:sz w:val="24"/>
          <w:szCs w:val="24"/>
        </w:rPr>
        <w:t>throughout the project</w:t>
      </w:r>
      <w:r w:rsidR="003712BD">
        <w:rPr>
          <w:rFonts w:cs="Times New Roman"/>
          <w:sz w:val="24"/>
          <w:szCs w:val="24"/>
        </w:rPr>
        <w:t>’s</w:t>
      </w:r>
      <w:r w:rsidRPr="003712BD">
        <w:rPr>
          <w:rFonts w:cs="Times New Roman"/>
          <w:sz w:val="24"/>
          <w:szCs w:val="24"/>
        </w:rPr>
        <w:t xml:space="preserve"> lifecycle​.</w:t>
      </w:r>
    </w:p>
    <w:p w14:paraId="10541A2A" w14:textId="73962008" w:rsidR="004B7D65" w:rsidRPr="003712BD" w:rsidRDefault="004B7D65" w:rsidP="00641DB1">
      <w:pPr>
        <w:pStyle w:val="ListParagraph"/>
        <w:spacing w:after="0" w:line="240" w:lineRule="auto"/>
        <w:rPr>
          <w:rFonts w:cs="Times New Roman"/>
          <w:sz w:val="24"/>
          <w:szCs w:val="24"/>
        </w:rPr>
      </w:pPr>
      <w:r w:rsidRPr="003712BD">
        <w:rPr>
          <w:rFonts w:cs="Times New Roman"/>
          <w:sz w:val="24"/>
          <w:szCs w:val="24"/>
        </w:rPr>
        <w:tab/>
      </w:r>
    </w:p>
    <w:p w14:paraId="49A4BBA5" w14:textId="03F74294" w:rsidR="002C2D4B" w:rsidRDefault="003712BD" w:rsidP="00641DB1">
      <w:pPr>
        <w:pStyle w:val="Heading2"/>
        <w:spacing w:before="0" w:after="0" w:line="240" w:lineRule="auto"/>
        <w:rPr>
          <w:color w:val="auto"/>
        </w:rPr>
      </w:pPr>
      <w:r>
        <w:rPr>
          <w:color w:val="auto"/>
        </w:rPr>
        <w:t>(3) F</w:t>
      </w:r>
      <w:r w:rsidR="003901FE" w:rsidRPr="003712BD">
        <w:rPr>
          <w:color w:val="auto"/>
        </w:rPr>
        <w:t xml:space="preserve">acilitate a </w:t>
      </w:r>
      <w:r w:rsidR="002C2D4B" w:rsidRPr="003712BD">
        <w:rPr>
          <w:color w:val="auto"/>
        </w:rPr>
        <w:t>cooperative two-party process</w:t>
      </w:r>
      <w:r w:rsidR="0092799F" w:rsidRPr="003712BD">
        <w:rPr>
          <w:color w:val="auto"/>
        </w:rPr>
        <w:t xml:space="preserve">. </w:t>
      </w:r>
    </w:p>
    <w:p w14:paraId="7DB34570" w14:textId="47F6298C" w:rsidR="00D805A5" w:rsidRPr="003712BD" w:rsidRDefault="00DA085F" w:rsidP="00641DB1">
      <w:pPr>
        <w:pStyle w:val="Heading2"/>
        <w:spacing w:before="0" w:after="0" w:line="240" w:lineRule="auto"/>
        <w:ind w:firstLine="360"/>
        <w:rPr>
          <w:color w:val="auto"/>
        </w:rPr>
      </w:pPr>
      <w:r w:rsidRPr="003712BD">
        <w:rPr>
          <w:color w:val="auto"/>
        </w:rPr>
        <w:t>(Project Phase:</w:t>
      </w:r>
      <w:r w:rsidR="00425510" w:rsidRPr="003712BD">
        <w:rPr>
          <w:color w:val="auto"/>
        </w:rPr>
        <w:t xml:space="preserve"> Feasibility through Co</w:t>
      </w:r>
      <w:r w:rsidR="00EA5343" w:rsidRPr="003712BD">
        <w:rPr>
          <w:color w:val="auto"/>
        </w:rPr>
        <w:t>mmissioning and Start</w:t>
      </w:r>
      <w:r w:rsidR="00CE1874" w:rsidRPr="003712BD">
        <w:rPr>
          <w:color w:val="auto"/>
        </w:rPr>
        <w:t>-Up</w:t>
      </w:r>
      <w:r w:rsidRPr="003712BD">
        <w:rPr>
          <w:color w:val="auto"/>
        </w:rPr>
        <w:t>)</w:t>
      </w:r>
    </w:p>
    <w:p w14:paraId="4D42BC1B" w14:textId="10BC9B48" w:rsidR="008D5B06" w:rsidRPr="003712BD" w:rsidRDefault="008D5B06" w:rsidP="00641DB1">
      <w:pPr>
        <w:pStyle w:val="ListParagraph"/>
        <w:numPr>
          <w:ilvl w:val="0"/>
          <w:numId w:val="48"/>
        </w:numPr>
        <w:spacing w:after="0" w:line="240" w:lineRule="auto"/>
        <w:rPr>
          <w:rFonts w:cs="Times New Roman"/>
          <w:sz w:val="24"/>
          <w:szCs w:val="24"/>
        </w:rPr>
      </w:pPr>
      <w:r w:rsidRPr="003712BD">
        <w:rPr>
          <w:rFonts w:cs="Times New Roman"/>
          <w:sz w:val="24"/>
          <w:szCs w:val="24"/>
        </w:rPr>
        <w:t xml:space="preserve">Utilize the two-party risk assessment worksheet to </w:t>
      </w:r>
      <w:r w:rsidR="002C2D4B">
        <w:rPr>
          <w:rFonts w:cs="Times New Roman"/>
          <w:sz w:val="24"/>
          <w:szCs w:val="24"/>
        </w:rPr>
        <w:t>help identify</w:t>
      </w:r>
      <w:r w:rsidRPr="003712BD">
        <w:rPr>
          <w:rFonts w:cs="Times New Roman"/>
          <w:sz w:val="24"/>
          <w:szCs w:val="24"/>
        </w:rPr>
        <w:t xml:space="preserve"> common high-concern risks and </w:t>
      </w:r>
      <w:r w:rsidR="002C2D4B">
        <w:rPr>
          <w:rFonts w:cs="Times New Roman"/>
          <w:sz w:val="24"/>
          <w:szCs w:val="24"/>
        </w:rPr>
        <w:t xml:space="preserve">to </w:t>
      </w:r>
      <w:r w:rsidRPr="003712BD">
        <w:rPr>
          <w:rFonts w:cs="Times New Roman"/>
          <w:sz w:val="24"/>
          <w:szCs w:val="24"/>
        </w:rPr>
        <w:t>ensure mutual understanding.</w:t>
      </w:r>
    </w:p>
    <w:p w14:paraId="14373EB0" w14:textId="625E6D19" w:rsidR="008D5B06" w:rsidRPr="003712BD" w:rsidRDefault="008D5B06" w:rsidP="00641DB1">
      <w:pPr>
        <w:pStyle w:val="ListParagraph"/>
        <w:numPr>
          <w:ilvl w:val="0"/>
          <w:numId w:val="48"/>
        </w:numPr>
        <w:spacing w:after="0" w:line="240" w:lineRule="auto"/>
        <w:rPr>
          <w:rFonts w:cs="Times New Roman"/>
          <w:sz w:val="24"/>
          <w:szCs w:val="24"/>
        </w:rPr>
      </w:pPr>
      <w:r w:rsidRPr="003712BD">
        <w:rPr>
          <w:rFonts w:cs="Times New Roman"/>
          <w:sz w:val="24"/>
          <w:szCs w:val="24"/>
        </w:rPr>
        <w:t>Address risk</w:t>
      </w:r>
      <w:r w:rsidR="00013077">
        <w:rPr>
          <w:rFonts w:cs="Times New Roman"/>
          <w:sz w:val="24"/>
          <w:szCs w:val="24"/>
        </w:rPr>
        <w:t>-related</w:t>
      </w:r>
      <w:r w:rsidRPr="003712BD">
        <w:rPr>
          <w:rFonts w:cs="Times New Roman"/>
          <w:sz w:val="24"/>
          <w:szCs w:val="24"/>
        </w:rPr>
        <w:t xml:space="preserve"> disagreements by collaboratively analyzing rating discrepancies to establish aligned action plans.</w:t>
      </w:r>
    </w:p>
    <w:p w14:paraId="266CA87A" w14:textId="6436FC11" w:rsidR="008D5B06" w:rsidRPr="003712BD" w:rsidRDefault="008D5B06" w:rsidP="00641DB1">
      <w:pPr>
        <w:pStyle w:val="ListParagraph"/>
        <w:numPr>
          <w:ilvl w:val="0"/>
          <w:numId w:val="48"/>
        </w:numPr>
        <w:spacing w:after="0" w:line="240" w:lineRule="auto"/>
        <w:rPr>
          <w:rFonts w:cs="Times New Roman"/>
          <w:sz w:val="24"/>
          <w:szCs w:val="24"/>
        </w:rPr>
      </w:pPr>
      <w:r w:rsidRPr="003712BD">
        <w:rPr>
          <w:rFonts w:cs="Times New Roman"/>
          <w:sz w:val="24"/>
          <w:szCs w:val="24"/>
        </w:rPr>
        <w:t>Engage in decision tree analys</w:t>
      </w:r>
      <w:r w:rsidR="002C2D4B">
        <w:rPr>
          <w:rFonts w:cs="Times New Roman"/>
          <w:sz w:val="24"/>
          <w:szCs w:val="24"/>
        </w:rPr>
        <w:t>i</w:t>
      </w:r>
      <w:r w:rsidRPr="003712BD">
        <w:rPr>
          <w:rFonts w:cs="Times New Roman"/>
          <w:sz w:val="24"/>
          <w:szCs w:val="24"/>
        </w:rPr>
        <w:t>s to guide cooperative decision-making</w:t>
      </w:r>
      <w:r w:rsidR="002C2D4B">
        <w:rPr>
          <w:rFonts w:cs="Times New Roman"/>
          <w:sz w:val="24"/>
          <w:szCs w:val="24"/>
        </w:rPr>
        <w:t xml:space="preserve"> and</w:t>
      </w:r>
      <w:r w:rsidRPr="003712BD">
        <w:rPr>
          <w:rFonts w:cs="Times New Roman"/>
          <w:sz w:val="24"/>
          <w:szCs w:val="24"/>
        </w:rPr>
        <w:t xml:space="preserve"> </w:t>
      </w:r>
      <w:r w:rsidR="002C2D4B">
        <w:rPr>
          <w:rFonts w:cs="Times New Roman"/>
          <w:sz w:val="24"/>
          <w:szCs w:val="24"/>
        </w:rPr>
        <w:t xml:space="preserve">to </w:t>
      </w:r>
      <w:r w:rsidRPr="003712BD">
        <w:rPr>
          <w:rFonts w:cs="Times New Roman"/>
          <w:sz w:val="24"/>
          <w:szCs w:val="24"/>
        </w:rPr>
        <w:t>explor</w:t>
      </w:r>
      <w:r w:rsidR="002C2D4B">
        <w:rPr>
          <w:rFonts w:cs="Times New Roman"/>
          <w:sz w:val="24"/>
          <w:szCs w:val="24"/>
        </w:rPr>
        <w:t>e</w:t>
      </w:r>
      <w:r w:rsidRPr="003712BD">
        <w:rPr>
          <w:rFonts w:cs="Times New Roman"/>
          <w:sz w:val="24"/>
          <w:szCs w:val="24"/>
        </w:rPr>
        <w:t xml:space="preserve"> options </w:t>
      </w:r>
      <w:r w:rsidR="002C2D4B">
        <w:rPr>
          <w:rFonts w:cs="Times New Roman"/>
          <w:sz w:val="24"/>
          <w:szCs w:val="24"/>
        </w:rPr>
        <w:t>such as</w:t>
      </w:r>
      <w:r w:rsidRPr="003712BD">
        <w:rPr>
          <w:rFonts w:cs="Times New Roman"/>
          <w:sz w:val="24"/>
          <w:szCs w:val="24"/>
        </w:rPr>
        <w:t xml:space="preserve"> insurance or shared responsibility​​.</w:t>
      </w:r>
    </w:p>
    <w:p w14:paraId="31880F30" w14:textId="3764A631" w:rsidR="008D5B06" w:rsidRPr="003712BD" w:rsidRDefault="008D5B06" w:rsidP="00641DB1">
      <w:pPr>
        <w:pStyle w:val="ListParagraph"/>
        <w:numPr>
          <w:ilvl w:val="0"/>
          <w:numId w:val="48"/>
        </w:numPr>
        <w:spacing w:after="0" w:line="240" w:lineRule="auto"/>
        <w:rPr>
          <w:rFonts w:cs="Times New Roman"/>
          <w:sz w:val="24"/>
          <w:szCs w:val="24"/>
        </w:rPr>
      </w:pPr>
      <w:r w:rsidRPr="003712BD">
        <w:rPr>
          <w:rFonts w:cs="Times New Roman"/>
          <w:sz w:val="24"/>
          <w:szCs w:val="24"/>
        </w:rPr>
        <w:lastRenderedPageBreak/>
        <w:t xml:space="preserve">Refer to </w:t>
      </w:r>
      <w:r w:rsidR="005C24E5">
        <w:rPr>
          <w:rFonts w:cs="Times New Roman"/>
          <w:sz w:val="24"/>
          <w:szCs w:val="24"/>
        </w:rPr>
        <w:t xml:space="preserve">the </w:t>
      </w:r>
      <w:r w:rsidRPr="003712BD">
        <w:rPr>
          <w:rFonts w:cs="Times New Roman"/>
          <w:sz w:val="24"/>
          <w:szCs w:val="24"/>
        </w:rPr>
        <w:t>legal research and contract language tools to clarify and allocate high-stakes risks fairly​​.</w:t>
      </w:r>
    </w:p>
    <w:p w14:paraId="37404D68" w14:textId="5022481F" w:rsidR="008D5B06" w:rsidRDefault="008D5B06" w:rsidP="00641DB1">
      <w:pPr>
        <w:pStyle w:val="ListParagraph"/>
        <w:numPr>
          <w:ilvl w:val="0"/>
          <w:numId w:val="48"/>
        </w:numPr>
        <w:spacing w:after="0" w:line="240" w:lineRule="auto"/>
        <w:rPr>
          <w:rFonts w:cs="Times New Roman"/>
          <w:sz w:val="24"/>
          <w:szCs w:val="24"/>
        </w:rPr>
      </w:pPr>
      <w:r w:rsidRPr="003712BD">
        <w:rPr>
          <w:rFonts w:cs="Times New Roman"/>
          <w:sz w:val="24"/>
          <w:szCs w:val="24"/>
        </w:rPr>
        <w:t xml:space="preserve">Conduct follow-up discussions post-assessment to verify mutual agreement on risk </w:t>
      </w:r>
      <w:proofErr w:type="gramStart"/>
      <w:r w:rsidRPr="003712BD">
        <w:rPr>
          <w:rFonts w:cs="Times New Roman"/>
          <w:sz w:val="24"/>
          <w:szCs w:val="24"/>
        </w:rPr>
        <w:t>handling</w:t>
      </w:r>
      <w:r w:rsidR="002C2D4B">
        <w:rPr>
          <w:rFonts w:cs="Times New Roman"/>
          <w:sz w:val="24"/>
          <w:szCs w:val="24"/>
        </w:rPr>
        <w:t>,</w:t>
      </w:r>
      <w:r w:rsidRPr="003712BD">
        <w:rPr>
          <w:rFonts w:cs="Times New Roman"/>
          <w:sz w:val="24"/>
          <w:szCs w:val="24"/>
        </w:rPr>
        <w:t xml:space="preserve"> and</w:t>
      </w:r>
      <w:proofErr w:type="gramEnd"/>
      <w:r w:rsidRPr="003712BD">
        <w:rPr>
          <w:rFonts w:cs="Times New Roman"/>
          <w:sz w:val="24"/>
          <w:szCs w:val="24"/>
        </w:rPr>
        <w:t xml:space="preserve"> monitor adjustments as needed​.</w:t>
      </w:r>
    </w:p>
    <w:p w14:paraId="1B6CA339" w14:textId="77777777" w:rsidR="002C2D4B" w:rsidRPr="003712BD" w:rsidRDefault="002C2D4B" w:rsidP="00641DB1">
      <w:pPr>
        <w:pStyle w:val="ListParagraph"/>
        <w:spacing w:after="0" w:line="240" w:lineRule="auto"/>
        <w:rPr>
          <w:rFonts w:cs="Times New Roman"/>
          <w:sz w:val="24"/>
          <w:szCs w:val="24"/>
        </w:rPr>
      </w:pPr>
    </w:p>
    <w:p w14:paraId="76890860" w14:textId="324F7839" w:rsidR="002C2D4B" w:rsidRDefault="002C2D4B" w:rsidP="00641DB1">
      <w:pPr>
        <w:pStyle w:val="Heading2"/>
        <w:spacing w:before="0" w:after="0" w:line="240" w:lineRule="auto"/>
        <w:rPr>
          <w:color w:val="auto"/>
        </w:rPr>
      </w:pPr>
      <w:r>
        <w:rPr>
          <w:color w:val="auto"/>
        </w:rPr>
        <w:t>(4) P</w:t>
      </w:r>
      <w:r w:rsidR="009D2D19" w:rsidRPr="003712BD">
        <w:rPr>
          <w:color w:val="auto"/>
        </w:rPr>
        <w:t xml:space="preserve">romote a </w:t>
      </w:r>
      <w:r w:rsidRPr="003712BD">
        <w:rPr>
          <w:color w:val="auto"/>
        </w:rPr>
        <w:t>logical decision</w:t>
      </w:r>
      <w:r>
        <w:rPr>
          <w:color w:val="auto"/>
        </w:rPr>
        <w:t>-making</w:t>
      </w:r>
      <w:r w:rsidRPr="003712BD">
        <w:rPr>
          <w:color w:val="auto"/>
        </w:rPr>
        <w:t xml:space="preserve"> process</w:t>
      </w:r>
      <w:r>
        <w:rPr>
          <w:color w:val="auto"/>
        </w:rPr>
        <w:t>.</w:t>
      </w:r>
    </w:p>
    <w:p w14:paraId="12B5FEC9" w14:textId="02133919" w:rsidR="002147F6" w:rsidRPr="003712BD" w:rsidRDefault="00DA085F" w:rsidP="00641DB1">
      <w:pPr>
        <w:pStyle w:val="Heading2"/>
        <w:spacing w:before="0" w:after="0" w:line="240" w:lineRule="auto"/>
        <w:ind w:left="360"/>
        <w:rPr>
          <w:color w:val="auto"/>
        </w:rPr>
      </w:pPr>
      <w:r w:rsidRPr="003712BD">
        <w:rPr>
          <w:color w:val="auto"/>
        </w:rPr>
        <w:t>(Project Phase:</w:t>
      </w:r>
      <w:r w:rsidR="00CE1874" w:rsidRPr="003712BD">
        <w:rPr>
          <w:color w:val="auto"/>
        </w:rPr>
        <w:t xml:space="preserve"> </w:t>
      </w:r>
      <w:r w:rsidR="00425510" w:rsidRPr="003712BD">
        <w:rPr>
          <w:color w:val="auto"/>
        </w:rPr>
        <w:t>Feasibility through</w:t>
      </w:r>
      <w:r w:rsidR="00CE1874" w:rsidRPr="003712BD">
        <w:rPr>
          <w:color w:val="auto"/>
        </w:rPr>
        <w:t xml:space="preserve"> Operate Facility</w:t>
      </w:r>
      <w:r w:rsidRPr="003712BD">
        <w:rPr>
          <w:color w:val="auto"/>
        </w:rPr>
        <w:t>)</w:t>
      </w:r>
    </w:p>
    <w:p w14:paraId="021E0CC7" w14:textId="7A5BAB01" w:rsidR="00E34CAB" w:rsidRPr="003712BD" w:rsidRDefault="00E34CAB" w:rsidP="00641DB1">
      <w:pPr>
        <w:pStyle w:val="ListParagraph"/>
        <w:numPr>
          <w:ilvl w:val="0"/>
          <w:numId w:val="49"/>
        </w:numPr>
        <w:spacing w:after="0" w:line="240" w:lineRule="auto"/>
        <w:rPr>
          <w:rFonts w:cs="Times New Roman"/>
          <w:sz w:val="24"/>
          <w:szCs w:val="24"/>
        </w:rPr>
      </w:pPr>
      <w:r w:rsidRPr="003712BD">
        <w:rPr>
          <w:rFonts w:cs="Times New Roman"/>
          <w:sz w:val="24"/>
          <w:szCs w:val="24"/>
        </w:rPr>
        <w:t xml:space="preserve">Use decision trees to guide each party through logical risk allocation steps, balancing factors </w:t>
      </w:r>
      <w:r w:rsidR="002C2D4B">
        <w:rPr>
          <w:rFonts w:cs="Times New Roman"/>
          <w:sz w:val="24"/>
          <w:szCs w:val="24"/>
        </w:rPr>
        <w:t xml:space="preserve">such as </w:t>
      </w:r>
      <w:r w:rsidRPr="003712BD">
        <w:rPr>
          <w:rFonts w:cs="Times New Roman"/>
          <w:sz w:val="24"/>
          <w:szCs w:val="24"/>
        </w:rPr>
        <w:t>insurability and potential financial impact</w:t>
      </w:r>
      <w:r w:rsidR="002C2D4B">
        <w:rPr>
          <w:rFonts w:cs="Times New Roman"/>
          <w:sz w:val="24"/>
          <w:szCs w:val="24"/>
        </w:rPr>
        <w:t>s</w:t>
      </w:r>
      <w:r w:rsidRPr="003712BD">
        <w:rPr>
          <w:rFonts w:cs="Times New Roman"/>
          <w:sz w:val="24"/>
          <w:szCs w:val="24"/>
        </w:rPr>
        <w:t>.</w:t>
      </w:r>
    </w:p>
    <w:p w14:paraId="55DCEF2E" w14:textId="471706FD" w:rsidR="00E34CAB" w:rsidRPr="003712BD" w:rsidRDefault="00E34CAB" w:rsidP="00641DB1">
      <w:pPr>
        <w:pStyle w:val="ListParagraph"/>
        <w:numPr>
          <w:ilvl w:val="0"/>
          <w:numId w:val="49"/>
        </w:numPr>
        <w:spacing w:after="0" w:line="240" w:lineRule="auto"/>
        <w:rPr>
          <w:rFonts w:cs="Times New Roman"/>
          <w:sz w:val="24"/>
          <w:szCs w:val="24"/>
        </w:rPr>
      </w:pPr>
      <w:r w:rsidRPr="003712BD">
        <w:rPr>
          <w:rFonts w:cs="Times New Roman"/>
          <w:sz w:val="24"/>
          <w:szCs w:val="24"/>
        </w:rPr>
        <w:t>Document and assess each risk's likelihood and impact to ensure transparent, data-driven allocation.</w:t>
      </w:r>
    </w:p>
    <w:p w14:paraId="17D09D18" w14:textId="7E1AC1CF" w:rsidR="00E34CAB" w:rsidRPr="003712BD" w:rsidRDefault="00E34CAB" w:rsidP="00641DB1">
      <w:pPr>
        <w:pStyle w:val="ListParagraph"/>
        <w:numPr>
          <w:ilvl w:val="0"/>
          <w:numId w:val="49"/>
        </w:numPr>
        <w:spacing w:after="0" w:line="240" w:lineRule="auto"/>
        <w:rPr>
          <w:rFonts w:cs="Times New Roman"/>
          <w:sz w:val="24"/>
          <w:szCs w:val="24"/>
        </w:rPr>
      </w:pPr>
      <w:r w:rsidRPr="003712BD">
        <w:rPr>
          <w:rFonts w:cs="Times New Roman"/>
          <w:sz w:val="24"/>
          <w:szCs w:val="24"/>
        </w:rPr>
        <w:t>Apply contract language tables and legal research to handle complex risk scenarios based on industry standards​​.</w:t>
      </w:r>
    </w:p>
    <w:p w14:paraId="392762FB" w14:textId="2F6E1183" w:rsidR="00E34CAB" w:rsidRPr="003712BD" w:rsidRDefault="00E34CAB" w:rsidP="00641DB1">
      <w:pPr>
        <w:pStyle w:val="ListParagraph"/>
        <w:numPr>
          <w:ilvl w:val="0"/>
          <w:numId w:val="49"/>
        </w:numPr>
        <w:spacing w:after="0" w:line="240" w:lineRule="auto"/>
        <w:rPr>
          <w:rFonts w:cs="Times New Roman"/>
          <w:sz w:val="24"/>
          <w:szCs w:val="24"/>
        </w:rPr>
      </w:pPr>
      <w:r w:rsidRPr="003712BD">
        <w:rPr>
          <w:rFonts w:cs="Times New Roman"/>
          <w:sz w:val="24"/>
          <w:szCs w:val="24"/>
        </w:rPr>
        <w:t xml:space="preserve">Review risk ratings and discrepancies collaboratively to identify high-priority risks </w:t>
      </w:r>
      <w:r w:rsidR="002C2D4B">
        <w:rPr>
          <w:rFonts w:cs="Times New Roman"/>
          <w:sz w:val="24"/>
          <w:szCs w:val="24"/>
        </w:rPr>
        <w:t>that require</w:t>
      </w:r>
      <w:r w:rsidRPr="003712BD">
        <w:rPr>
          <w:rFonts w:cs="Times New Roman"/>
          <w:sz w:val="24"/>
          <w:szCs w:val="24"/>
        </w:rPr>
        <w:t xml:space="preserve"> in-depth analysis​​.</w:t>
      </w:r>
    </w:p>
    <w:p w14:paraId="76441FB8" w14:textId="77777777" w:rsidR="002C2D4B" w:rsidRDefault="00E34CAB" w:rsidP="00641DB1">
      <w:pPr>
        <w:pStyle w:val="ListParagraph"/>
        <w:numPr>
          <w:ilvl w:val="0"/>
          <w:numId w:val="49"/>
        </w:numPr>
        <w:spacing w:after="0" w:line="240" w:lineRule="auto"/>
        <w:rPr>
          <w:rFonts w:cs="Times New Roman"/>
          <w:sz w:val="24"/>
          <w:szCs w:val="24"/>
        </w:rPr>
      </w:pPr>
      <w:r w:rsidRPr="003712BD">
        <w:rPr>
          <w:rFonts w:cs="Times New Roman"/>
          <w:sz w:val="24"/>
          <w:szCs w:val="24"/>
        </w:rPr>
        <w:t>Regularly revisit and adjust risk strategies based on real-time project data to improve future risk decisions​​.</w:t>
      </w:r>
    </w:p>
    <w:p w14:paraId="4B2051D2" w14:textId="2CA2A296" w:rsidR="00830C78" w:rsidRPr="003712BD" w:rsidRDefault="00605512" w:rsidP="00641DB1">
      <w:pPr>
        <w:pStyle w:val="ListParagraph"/>
        <w:spacing w:after="0" w:line="240" w:lineRule="auto"/>
        <w:rPr>
          <w:rFonts w:cs="Times New Roman"/>
          <w:sz w:val="24"/>
          <w:szCs w:val="24"/>
        </w:rPr>
      </w:pPr>
      <w:r w:rsidRPr="003712BD">
        <w:rPr>
          <w:rFonts w:cs="Times New Roman"/>
          <w:sz w:val="24"/>
          <w:szCs w:val="24"/>
        </w:rPr>
        <w:tab/>
      </w:r>
    </w:p>
    <w:p w14:paraId="7C2CA57F" w14:textId="4555A12A" w:rsidR="002C2D4B" w:rsidRDefault="002C2D4B" w:rsidP="00641DB1">
      <w:pPr>
        <w:pStyle w:val="Heading2"/>
        <w:spacing w:before="0" w:after="0" w:line="240" w:lineRule="auto"/>
        <w:rPr>
          <w:color w:val="auto"/>
        </w:rPr>
      </w:pPr>
      <w:r>
        <w:rPr>
          <w:color w:val="auto"/>
        </w:rPr>
        <w:t>(5) T</w:t>
      </w:r>
      <w:r w:rsidR="001264D3" w:rsidRPr="003712BD">
        <w:rPr>
          <w:color w:val="auto"/>
        </w:rPr>
        <w:t xml:space="preserve">ranscend and </w:t>
      </w:r>
      <w:r w:rsidRPr="003712BD">
        <w:rPr>
          <w:color w:val="auto"/>
        </w:rPr>
        <w:t>assist multiple construction phases</w:t>
      </w:r>
      <w:r>
        <w:rPr>
          <w:color w:val="auto"/>
        </w:rPr>
        <w:t>.</w:t>
      </w:r>
    </w:p>
    <w:p w14:paraId="6675ED00" w14:textId="57D5EF99" w:rsidR="005205BD" w:rsidRPr="003712BD" w:rsidRDefault="00DA085F" w:rsidP="00641DB1">
      <w:pPr>
        <w:pStyle w:val="Heading2"/>
        <w:spacing w:before="0" w:after="0" w:line="240" w:lineRule="auto"/>
        <w:ind w:left="360"/>
        <w:rPr>
          <w:color w:val="auto"/>
        </w:rPr>
      </w:pPr>
      <w:r w:rsidRPr="003712BD">
        <w:rPr>
          <w:color w:val="auto"/>
        </w:rPr>
        <w:t>(Project Phase:</w:t>
      </w:r>
      <w:r w:rsidR="00ED4BE0" w:rsidRPr="003712BD">
        <w:rPr>
          <w:color w:val="auto"/>
        </w:rPr>
        <w:t xml:space="preserve"> Feasibility through Operate Facility</w:t>
      </w:r>
      <w:r w:rsidRPr="003712BD">
        <w:rPr>
          <w:color w:val="auto"/>
        </w:rPr>
        <w:t>)</w:t>
      </w:r>
    </w:p>
    <w:p w14:paraId="3B185A32" w14:textId="4C2662BE" w:rsidR="00420447" w:rsidRPr="003712BD" w:rsidRDefault="00420447" w:rsidP="00641DB1">
      <w:pPr>
        <w:pStyle w:val="ListParagraph"/>
        <w:numPr>
          <w:ilvl w:val="0"/>
          <w:numId w:val="50"/>
        </w:numPr>
        <w:spacing w:after="0" w:line="240" w:lineRule="auto"/>
        <w:rPr>
          <w:rFonts w:cs="Times New Roman"/>
          <w:sz w:val="24"/>
          <w:szCs w:val="24"/>
        </w:rPr>
      </w:pPr>
      <w:r w:rsidRPr="003712BD">
        <w:rPr>
          <w:rFonts w:cs="Times New Roman"/>
          <w:sz w:val="24"/>
          <w:szCs w:val="24"/>
        </w:rPr>
        <w:t xml:space="preserve">Apply </w:t>
      </w:r>
      <w:r w:rsidR="005C24E5">
        <w:rPr>
          <w:rFonts w:cs="Times New Roman"/>
          <w:sz w:val="24"/>
          <w:szCs w:val="24"/>
        </w:rPr>
        <w:t xml:space="preserve">the </w:t>
      </w:r>
      <w:r w:rsidRPr="003712BD">
        <w:rPr>
          <w:rFonts w:cs="Times New Roman"/>
          <w:sz w:val="24"/>
          <w:szCs w:val="24"/>
        </w:rPr>
        <w:t>risk assessment worksheets consistently across all project phases to ensure continuity and informed decision-making.</w:t>
      </w:r>
    </w:p>
    <w:p w14:paraId="304913E5" w14:textId="12BBBF32" w:rsidR="00420447" w:rsidRPr="003712BD" w:rsidRDefault="00420447" w:rsidP="00641DB1">
      <w:pPr>
        <w:pStyle w:val="ListParagraph"/>
        <w:numPr>
          <w:ilvl w:val="0"/>
          <w:numId w:val="50"/>
        </w:numPr>
        <w:spacing w:after="0" w:line="240" w:lineRule="auto"/>
        <w:rPr>
          <w:rFonts w:cs="Times New Roman"/>
          <w:sz w:val="24"/>
          <w:szCs w:val="24"/>
        </w:rPr>
      </w:pPr>
      <w:r w:rsidRPr="003712BD">
        <w:rPr>
          <w:rFonts w:cs="Times New Roman"/>
          <w:sz w:val="24"/>
          <w:szCs w:val="24"/>
        </w:rPr>
        <w:t xml:space="preserve">Review and adjust risk allocation at each phase, from </w:t>
      </w:r>
      <w:r w:rsidR="002C2D4B">
        <w:rPr>
          <w:rFonts w:cs="Times New Roman"/>
          <w:sz w:val="24"/>
          <w:szCs w:val="24"/>
        </w:rPr>
        <w:t>the Request for Proposal stage</w:t>
      </w:r>
      <w:r w:rsidRPr="003712BD">
        <w:rPr>
          <w:rFonts w:cs="Times New Roman"/>
          <w:sz w:val="24"/>
          <w:szCs w:val="24"/>
        </w:rPr>
        <w:t xml:space="preserve"> to post-award, to accommodate evolving project goals.</w:t>
      </w:r>
    </w:p>
    <w:p w14:paraId="7E8D08F6" w14:textId="2C3C2D50" w:rsidR="00420447" w:rsidRPr="003712BD" w:rsidRDefault="00420447" w:rsidP="00641DB1">
      <w:pPr>
        <w:pStyle w:val="ListParagraph"/>
        <w:numPr>
          <w:ilvl w:val="0"/>
          <w:numId w:val="50"/>
        </w:numPr>
        <w:spacing w:after="0" w:line="240" w:lineRule="auto"/>
        <w:rPr>
          <w:rFonts w:cs="Times New Roman"/>
          <w:sz w:val="24"/>
          <w:szCs w:val="24"/>
        </w:rPr>
      </w:pPr>
      <w:r w:rsidRPr="003712BD">
        <w:rPr>
          <w:rFonts w:cs="Times New Roman"/>
          <w:sz w:val="24"/>
          <w:szCs w:val="24"/>
        </w:rPr>
        <w:t>Conduct bid-phase risk assessments to align potential contractors with the project’s risk tolerance and priorities​​.</w:t>
      </w:r>
    </w:p>
    <w:p w14:paraId="039DBE3B" w14:textId="31423D97" w:rsidR="00420447" w:rsidRPr="003712BD" w:rsidRDefault="00420447" w:rsidP="00641DB1">
      <w:pPr>
        <w:pStyle w:val="ListParagraph"/>
        <w:numPr>
          <w:ilvl w:val="0"/>
          <w:numId w:val="50"/>
        </w:numPr>
        <w:spacing w:after="0" w:line="240" w:lineRule="auto"/>
        <w:rPr>
          <w:rFonts w:cs="Times New Roman"/>
          <w:sz w:val="24"/>
          <w:szCs w:val="24"/>
        </w:rPr>
      </w:pPr>
      <w:r w:rsidRPr="003712BD">
        <w:rPr>
          <w:rFonts w:cs="Times New Roman"/>
          <w:sz w:val="24"/>
          <w:szCs w:val="24"/>
        </w:rPr>
        <w:t xml:space="preserve">Implement risk monitoring </w:t>
      </w:r>
      <w:r w:rsidR="002C2D4B">
        <w:rPr>
          <w:rFonts w:cs="Times New Roman"/>
          <w:sz w:val="24"/>
          <w:szCs w:val="24"/>
        </w:rPr>
        <w:t xml:space="preserve">during the </w:t>
      </w:r>
      <w:r w:rsidRPr="003712BD">
        <w:rPr>
          <w:rFonts w:cs="Times New Roman"/>
          <w:sz w:val="24"/>
          <w:szCs w:val="24"/>
        </w:rPr>
        <w:t>execution</w:t>
      </w:r>
      <w:r w:rsidR="002C2D4B">
        <w:rPr>
          <w:rFonts w:cs="Times New Roman"/>
          <w:sz w:val="24"/>
          <w:szCs w:val="24"/>
        </w:rPr>
        <w:t xml:space="preserve"> phase</w:t>
      </w:r>
      <w:r w:rsidRPr="003712BD">
        <w:rPr>
          <w:rFonts w:cs="Times New Roman"/>
          <w:sz w:val="24"/>
          <w:szCs w:val="24"/>
        </w:rPr>
        <w:t xml:space="preserve"> to update assessments with real-time data for effective </w:t>
      </w:r>
      <w:r w:rsidR="005C24E5">
        <w:rPr>
          <w:rFonts w:cs="Times New Roman"/>
          <w:sz w:val="24"/>
          <w:szCs w:val="24"/>
        </w:rPr>
        <w:t xml:space="preserve">risk </w:t>
      </w:r>
      <w:r w:rsidRPr="003712BD">
        <w:rPr>
          <w:rFonts w:cs="Times New Roman"/>
          <w:sz w:val="24"/>
          <w:szCs w:val="24"/>
        </w:rPr>
        <w:t>mitigation​​.</w:t>
      </w:r>
    </w:p>
    <w:p w14:paraId="0501DD7A" w14:textId="30A5589E" w:rsidR="00420447" w:rsidRDefault="00420447" w:rsidP="00641DB1">
      <w:pPr>
        <w:pStyle w:val="ListParagraph"/>
        <w:numPr>
          <w:ilvl w:val="0"/>
          <w:numId w:val="50"/>
        </w:numPr>
        <w:spacing w:after="0" w:line="240" w:lineRule="auto"/>
        <w:rPr>
          <w:rFonts w:cs="Times New Roman"/>
          <w:sz w:val="24"/>
          <w:szCs w:val="24"/>
        </w:rPr>
      </w:pPr>
      <w:r w:rsidRPr="003712BD">
        <w:rPr>
          <w:rFonts w:cs="Times New Roman"/>
          <w:sz w:val="24"/>
          <w:szCs w:val="24"/>
        </w:rPr>
        <w:t xml:space="preserve">Utilize feedback loops after each phase to refine </w:t>
      </w:r>
      <w:r w:rsidR="002C2D4B">
        <w:rPr>
          <w:rFonts w:cs="Times New Roman"/>
          <w:sz w:val="24"/>
          <w:szCs w:val="24"/>
        </w:rPr>
        <w:t xml:space="preserve">the </w:t>
      </w:r>
      <w:r w:rsidRPr="003712BD">
        <w:rPr>
          <w:rFonts w:cs="Times New Roman"/>
          <w:sz w:val="24"/>
          <w:szCs w:val="24"/>
        </w:rPr>
        <w:t>risk management practices for future projects​​.</w:t>
      </w:r>
    </w:p>
    <w:p w14:paraId="4DCAA8DE" w14:textId="77777777" w:rsidR="002C2D4B" w:rsidRPr="003712BD" w:rsidRDefault="002C2D4B" w:rsidP="00641DB1">
      <w:pPr>
        <w:pStyle w:val="ListParagraph"/>
        <w:spacing w:after="0" w:line="240" w:lineRule="auto"/>
        <w:rPr>
          <w:rFonts w:cs="Times New Roman"/>
          <w:sz w:val="24"/>
          <w:szCs w:val="24"/>
        </w:rPr>
      </w:pPr>
    </w:p>
    <w:p w14:paraId="2153D2BB" w14:textId="270FECFC" w:rsidR="002C2D4B" w:rsidRDefault="002C2D4B" w:rsidP="00641DB1">
      <w:pPr>
        <w:pStyle w:val="Heading2"/>
        <w:spacing w:before="0" w:after="0" w:line="240" w:lineRule="auto"/>
        <w:rPr>
          <w:color w:val="auto"/>
        </w:rPr>
      </w:pPr>
      <w:r>
        <w:rPr>
          <w:color w:val="auto"/>
        </w:rPr>
        <w:t>(6) I</w:t>
      </w:r>
      <w:r w:rsidR="00D9213E" w:rsidRPr="003712BD">
        <w:rPr>
          <w:color w:val="auto"/>
        </w:rPr>
        <w:t xml:space="preserve">dentify 107 </w:t>
      </w:r>
      <w:r>
        <w:rPr>
          <w:color w:val="auto"/>
        </w:rPr>
        <w:t>r</w:t>
      </w:r>
      <w:r w:rsidR="00D9213E" w:rsidRPr="003712BD">
        <w:rPr>
          <w:color w:val="auto"/>
        </w:rPr>
        <w:t>isks</w:t>
      </w:r>
      <w:r>
        <w:rPr>
          <w:color w:val="auto"/>
        </w:rPr>
        <w:t>.</w:t>
      </w:r>
      <w:r w:rsidR="00C654B8" w:rsidRPr="003712BD">
        <w:rPr>
          <w:color w:val="auto"/>
        </w:rPr>
        <w:t xml:space="preserve"> </w:t>
      </w:r>
    </w:p>
    <w:p w14:paraId="12EF6D2D" w14:textId="13CFAE06" w:rsidR="00CB4D3D" w:rsidRPr="003712BD" w:rsidRDefault="00CB4D3D" w:rsidP="00641DB1">
      <w:pPr>
        <w:pStyle w:val="Heading2"/>
        <w:spacing w:before="0" w:after="0" w:line="240" w:lineRule="auto"/>
        <w:ind w:left="360"/>
        <w:rPr>
          <w:color w:val="auto"/>
        </w:rPr>
      </w:pPr>
      <w:r w:rsidRPr="003712BD">
        <w:rPr>
          <w:color w:val="auto"/>
        </w:rPr>
        <w:t>(Project Phase:</w:t>
      </w:r>
      <w:r w:rsidR="00ED4BE0" w:rsidRPr="003712BD">
        <w:rPr>
          <w:color w:val="auto"/>
        </w:rPr>
        <w:t xml:space="preserve"> Feasibility through Operate Facility</w:t>
      </w:r>
      <w:r w:rsidRPr="003712BD">
        <w:rPr>
          <w:color w:val="auto"/>
        </w:rPr>
        <w:t>)</w:t>
      </w:r>
    </w:p>
    <w:p w14:paraId="7F31E833" w14:textId="0A59BD4E" w:rsidR="007511BF" w:rsidRPr="003712BD" w:rsidRDefault="007511BF" w:rsidP="00641DB1">
      <w:pPr>
        <w:pStyle w:val="ListParagraph"/>
        <w:numPr>
          <w:ilvl w:val="0"/>
          <w:numId w:val="51"/>
        </w:numPr>
        <w:spacing w:after="0" w:line="240" w:lineRule="auto"/>
        <w:rPr>
          <w:rFonts w:cs="Times New Roman"/>
          <w:sz w:val="24"/>
          <w:szCs w:val="24"/>
        </w:rPr>
      </w:pPr>
      <w:r w:rsidRPr="003712BD">
        <w:rPr>
          <w:rFonts w:cs="Times New Roman"/>
          <w:sz w:val="24"/>
          <w:szCs w:val="24"/>
        </w:rPr>
        <w:t xml:space="preserve">Review the comprehensive list of 107 risks </w:t>
      </w:r>
      <w:r w:rsidR="005C24E5">
        <w:rPr>
          <w:rFonts w:cs="Times New Roman"/>
          <w:sz w:val="24"/>
          <w:szCs w:val="24"/>
        </w:rPr>
        <w:t xml:space="preserve">in the model </w:t>
      </w:r>
      <w:r w:rsidRPr="003712BD">
        <w:rPr>
          <w:rFonts w:cs="Times New Roman"/>
          <w:sz w:val="24"/>
          <w:szCs w:val="24"/>
        </w:rPr>
        <w:t xml:space="preserve">as a baseline to ensure </w:t>
      </w:r>
      <w:r w:rsidR="002C2D4B">
        <w:rPr>
          <w:rFonts w:cs="Times New Roman"/>
          <w:sz w:val="24"/>
          <w:szCs w:val="24"/>
        </w:rPr>
        <w:t xml:space="preserve">that </w:t>
      </w:r>
      <w:r w:rsidRPr="003712BD">
        <w:rPr>
          <w:rFonts w:cs="Times New Roman"/>
          <w:sz w:val="24"/>
          <w:szCs w:val="24"/>
        </w:rPr>
        <w:t xml:space="preserve">no major construction risks are overlooked during </w:t>
      </w:r>
      <w:r w:rsidR="002C2D4B">
        <w:rPr>
          <w:rFonts w:cs="Times New Roman"/>
          <w:sz w:val="24"/>
          <w:szCs w:val="24"/>
        </w:rPr>
        <w:t xml:space="preserve">the </w:t>
      </w:r>
      <w:r w:rsidRPr="003712BD">
        <w:rPr>
          <w:rFonts w:cs="Times New Roman"/>
          <w:sz w:val="24"/>
          <w:szCs w:val="24"/>
        </w:rPr>
        <w:t>planning</w:t>
      </w:r>
      <w:r w:rsidR="002C2D4B">
        <w:rPr>
          <w:rFonts w:cs="Times New Roman"/>
          <w:sz w:val="24"/>
          <w:szCs w:val="24"/>
        </w:rPr>
        <w:t xml:space="preserve"> phase</w:t>
      </w:r>
      <w:r w:rsidRPr="003712BD">
        <w:rPr>
          <w:rFonts w:cs="Times New Roman"/>
          <w:sz w:val="24"/>
          <w:szCs w:val="24"/>
        </w:rPr>
        <w:t>.</w:t>
      </w:r>
    </w:p>
    <w:p w14:paraId="38A5E516" w14:textId="1FCE9BA8" w:rsidR="007511BF" w:rsidRPr="003712BD" w:rsidRDefault="007511BF" w:rsidP="00641DB1">
      <w:pPr>
        <w:pStyle w:val="ListParagraph"/>
        <w:numPr>
          <w:ilvl w:val="0"/>
          <w:numId w:val="51"/>
        </w:numPr>
        <w:spacing w:after="0" w:line="240" w:lineRule="auto"/>
        <w:rPr>
          <w:rFonts w:cs="Times New Roman"/>
          <w:sz w:val="24"/>
          <w:szCs w:val="24"/>
        </w:rPr>
      </w:pPr>
      <w:r w:rsidRPr="003712BD">
        <w:rPr>
          <w:rFonts w:cs="Times New Roman"/>
          <w:sz w:val="24"/>
          <w:szCs w:val="24"/>
        </w:rPr>
        <w:t xml:space="preserve">Categorize </w:t>
      </w:r>
      <w:r w:rsidR="002C2D4B">
        <w:rPr>
          <w:rFonts w:cs="Times New Roman"/>
          <w:sz w:val="24"/>
          <w:szCs w:val="24"/>
        </w:rPr>
        <w:t xml:space="preserve">the </w:t>
      </w:r>
      <w:r w:rsidRPr="003712BD">
        <w:rPr>
          <w:rFonts w:cs="Times New Roman"/>
          <w:sz w:val="24"/>
          <w:szCs w:val="24"/>
        </w:rPr>
        <w:t xml:space="preserve">identified risks across </w:t>
      </w:r>
      <w:r w:rsidR="005C24E5">
        <w:rPr>
          <w:rFonts w:cs="Times New Roman"/>
          <w:sz w:val="24"/>
          <w:szCs w:val="24"/>
        </w:rPr>
        <w:t xml:space="preserve">the project’s </w:t>
      </w:r>
      <w:r w:rsidRPr="003712BD">
        <w:rPr>
          <w:rFonts w:cs="Times New Roman"/>
          <w:sz w:val="24"/>
          <w:szCs w:val="24"/>
        </w:rPr>
        <w:t>lifecycle phases, such as planning, execution, and operations, for targeted risk management.</w:t>
      </w:r>
    </w:p>
    <w:p w14:paraId="4F5260DF" w14:textId="3DC42402" w:rsidR="007511BF" w:rsidRPr="003712BD" w:rsidRDefault="007511BF" w:rsidP="00641DB1">
      <w:pPr>
        <w:pStyle w:val="ListParagraph"/>
        <w:numPr>
          <w:ilvl w:val="0"/>
          <w:numId w:val="51"/>
        </w:numPr>
        <w:spacing w:after="0" w:line="240" w:lineRule="auto"/>
        <w:rPr>
          <w:rFonts w:cs="Times New Roman"/>
          <w:sz w:val="24"/>
          <w:szCs w:val="24"/>
        </w:rPr>
      </w:pPr>
      <w:r w:rsidRPr="003712BD">
        <w:rPr>
          <w:rFonts w:cs="Times New Roman"/>
          <w:sz w:val="24"/>
          <w:szCs w:val="24"/>
        </w:rPr>
        <w:t>Include additional project-specific risks at the start to capture unique threats or liabilities that may not be in</w:t>
      </w:r>
      <w:r w:rsidR="002C2D4B">
        <w:rPr>
          <w:rFonts w:cs="Times New Roman"/>
          <w:sz w:val="24"/>
          <w:szCs w:val="24"/>
        </w:rPr>
        <w:t>cluded in</w:t>
      </w:r>
      <w:r w:rsidRPr="003712BD">
        <w:rPr>
          <w:rFonts w:cs="Times New Roman"/>
          <w:sz w:val="24"/>
          <w:szCs w:val="24"/>
        </w:rPr>
        <w:t xml:space="preserve"> the baseline list​.</w:t>
      </w:r>
    </w:p>
    <w:p w14:paraId="265B29B9" w14:textId="37CF6B9F" w:rsidR="007511BF" w:rsidRPr="003712BD" w:rsidRDefault="007511BF" w:rsidP="00641DB1">
      <w:pPr>
        <w:pStyle w:val="ListParagraph"/>
        <w:numPr>
          <w:ilvl w:val="0"/>
          <w:numId w:val="51"/>
        </w:numPr>
        <w:spacing w:after="0" w:line="240" w:lineRule="auto"/>
        <w:rPr>
          <w:rFonts w:cs="Times New Roman"/>
          <w:sz w:val="24"/>
          <w:szCs w:val="24"/>
        </w:rPr>
      </w:pPr>
      <w:r w:rsidRPr="003712BD">
        <w:rPr>
          <w:rFonts w:cs="Times New Roman"/>
          <w:sz w:val="24"/>
          <w:szCs w:val="24"/>
        </w:rPr>
        <w:t xml:space="preserve">Utilize </w:t>
      </w:r>
      <w:r w:rsidR="002C2D4B">
        <w:rPr>
          <w:rFonts w:cs="Times New Roman"/>
          <w:sz w:val="24"/>
          <w:szCs w:val="24"/>
        </w:rPr>
        <w:t xml:space="preserve">the </w:t>
      </w:r>
      <w:r w:rsidRPr="003712BD">
        <w:rPr>
          <w:rFonts w:cs="Times New Roman"/>
          <w:sz w:val="24"/>
          <w:szCs w:val="24"/>
        </w:rPr>
        <w:t>risk assessment worksheets to systematically evaluate each risk's likelihood, impact, and allocation suitability​​.</w:t>
      </w:r>
    </w:p>
    <w:p w14:paraId="38CDA10A" w14:textId="309D724C" w:rsidR="007511BF" w:rsidRDefault="007511BF" w:rsidP="00641DB1">
      <w:pPr>
        <w:pStyle w:val="ListParagraph"/>
        <w:numPr>
          <w:ilvl w:val="0"/>
          <w:numId w:val="51"/>
        </w:numPr>
        <w:spacing w:after="0" w:line="240" w:lineRule="auto"/>
        <w:rPr>
          <w:rFonts w:cs="Times New Roman"/>
          <w:sz w:val="24"/>
          <w:szCs w:val="24"/>
        </w:rPr>
      </w:pPr>
      <w:r w:rsidRPr="003712BD">
        <w:rPr>
          <w:rFonts w:cs="Times New Roman"/>
          <w:sz w:val="24"/>
          <w:szCs w:val="24"/>
        </w:rPr>
        <w:t>Regularly update the risk list throughout the project</w:t>
      </w:r>
      <w:r w:rsidR="002C2D4B">
        <w:rPr>
          <w:rFonts w:cs="Times New Roman"/>
          <w:sz w:val="24"/>
          <w:szCs w:val="24"/>
        </w:rPr>
        <w:t>’s</w:t>
      </w:r>
      <w:r w:rsidRPr="003712BD">
        <w:rPr>
          <w:rFonts w:cs="Times New Roman"/>
          <w:sz w:val="24"/>
          <w:szCs w:val="24"/>
        </w:rPr>
        <w:t xml:space="preserve"> lifecycle to ensure adaptive and relevant risk management​​.</w:t>
      </w:r>
    </w:p>
    <w:p w14:paraId="7F4D6047" w14:textId="77777777" w:rsidR="002C2D4B" w:rsidRPr="003712BD" w:rsidRDefault="002C2D4B" w:rsidP="00641DB1">
      <w:pPr>
        <w:pStyle w:val="ListParagraph"/>
        <w:spacing w:after="0" w:line="240" w:lineRule="auto"/>
        <w:rPr>
          <w:rFonts w:cs="Times New Roman"/>
          <w:sz w:val="24"/>
          <w:szCs w:val="24"/>
        </w:rPr>
      </w:pPr>
    </w:p>
    <w:p w14:paraId="21AF9A32" w14:textId="5F9FD062" w:rsidR="0017445A" w:rsidRDefault="0017445A" w:rsidP="00641DB1">
      <w:pPr>
        <w:pStyle w:val="Heading2"/>
        <w:spacing w:before="0" w:after="0" w:line="240" w:lineRule="auto"/>
        <w:rPr>
          <w:color w:val="auto"/>
        </w:rPr>
      </w:pPr>
      <w:r>
        <w:rPr>
          <w:color w:val="auto"/>
        </w:rPr>
        <w:lastRenderedPageBreak/>
        <w:t>(7) E</w:t>
      </w:r>
      <w:r w:rsidR="007973FD" w:rsidRPr="003712BD">
        <w:rPr>
          <w:color w:val="auto"/>
        </w:rPr>
        <w:t xml:space="preserve">liminate </w:t>
      </w:r>
      <w:r w:rsidRPr="003712BD">
        <w:rPr>
          <w:color w:val="auto"/>
        </w:rPr>
        <w:t>adversarial c</w:t>
      </w:r>
      <w:r w:rsidR="007973FD" w:rsidRPr="003712BD">
        <w:rPr>
          <w:color w:val="auto"/>
        </w:rPr>
        <w:t>ontracting</w:t>
      </w:r>
      <w:r>
        <w:rPr>
          <w:color w:val="auto"/>
        </w:rPr>
        <w:t>.</w:t>
      </w:r>
      <w:r w:rsidR="007973FD" w:rsidRPr="003712BD">
        <w:rPr>
          <w:color w:val="auto"/>
        </w:rPr>
        <w:t xml:space="preserve"> </w:t>
      </w:r>
    </w:p>
    <w:p w14:paraId="5B433F64" w14:textId="7A581F24" w:rsidR="00CB4D3D" w:rsidRPr="003712BD" w:rsidRDefault="00CB4D3D" w:rsidP="00641DB1">
      <w:pPr>
        <w:pStyle w:val="Heading2"/>
        <w:spacing w:before="0" w:after="0" w:line="240" w:lineRule="auto"/>
        <w:ind w:left="360"/>
        <w:rPr>
          <w:color w:val="auto"/>
        </w:rPr>
      </w:pPr>
      <w:r w:rsidRPr="003712BD">
        <w:rPr>
          <w:color w:val="auto"/>
        </w:rPr>
        <w:t>(Project Phase:</w:t>
      </w:r>
      <w:r w:rsidR="00425510" w:rsidRPr="003712BD">
        <w:rPr>
          <w:color w:val="auto"/>
        </w:rPr>
        <w:t xml:space="preserve"> Feasibility through C</w:t>
      </w:r>
      <w:r w:rsidR="0094338D" w:rsidRPr="003712BD">
        <w:rPr>
          <w:color w:val="auto"/>
        </w:rPr>
        <w:t>ommissioning and Start-Up</w:t>
      </w:r>
      <w:r w:rsidRPr="003712BD">
        <w:rPr>
          <w:color w:val="auto"/>
        </w:rPr>
        <w:t>)</w:t>
      </w:r>
    </w:p>
    <w:p w14:paraId="1A629101" w14:textId="4709A416" w:rsidR="008F6DD7" w:rsidRPr="003712BD" w:rsidRDefault="008F6DD7" w:rsidP="00641DB1">
      <w:pPr>
        <w:pStyle w:val="ListParagraph"/>
        <w:numPr>
          <w:ilvl w:val="0"/>
          <w:numId w:val="52"/>
        </w:numPr>
        <w:spacing w:after="0" w:line="240" w:lineRule="auto"/>
        <w:rPr>
          <w:rFonts w:cs="Times New Roman"/>
          <w:sz w:val="24"/>
          <w:szCs w:val="24"/>
        </w:rPr>
      </w:pPr>
      <w:r w:rsidRPr="003712BD">
        <w:rPr>
          <w:rFonts w:cs="Times New Roman"/>
          <w:sz w:val="24"/>
          <w:szCs w:val="24"/>
        </w:rPr>
        <w:t xml:space="preserve">Encourage collaborative contract reviews to identify and address </w:t>
      </w:r>
      <w:r w:rsidR="0017445A">
        <w:rPr>
          <w:rFonts w:cs="Times New Roman"/>
          <w:sz w:val="24"/>
          <w:szCs w:val="24"/>
        </w:rPr>
        <w:t xml:space="preserve">any </w:t>
      </w:r>
      <w:r w:rsidRPr="003712BD">
        <w:rPr>
          <w:rFonts w:cs="Times New Roman"/>
          <w:sz w:val="24"/>
          <w:szCs w:val="24"/>
        </w:rPr>
        <w:t>inequitable risk allocation from the start.</w:t>
      </w:r>
    </w:p>
    <w:p w14:paraId="526194ED" w14:textId="2BF038BB" w:rsidR="008F6DD7" w:rsidRPr="003712BD" w:rsidRDefault="008F6DD7" w:rsidP="00641DB1">
      <w:pPr>
        <w:pStyle w:val="ListParagraph"/>
        <w:numPr>
          <w:ilvl w:val="0"/>
          <w:numId w:val="52"/>
        </w:numPr>
        <w:spacing w:after="0" w:line="240" w:lineRule="auto"/>
        <w:rPr>
          <w:rFonts w:cs="Times New Roman"/>
          <w:sz w:val="24"/>
          <w:szCs w:val="24"/>
        </w:rPr>
      </w:pPr>
      <w:r w:rsidRPr="003712BD">
        <w:rPr>
          <w:rFonts w:cs="Times New Roman"/>
          <w:sz w:val="24"/>
          <w:szCs w:val="24"/>
        </w:rPr>
        <w:t xml:space="preserve">Avoid unilateral risk-shifting clauses to promote balanced risk-bearing, </w:t>
      </w:r>
      <w:r w:rsidR="0017445A">
        <w:rPr>
          <w:rFonts w:cs="Times New Roman"/>
          <w:sz w:val="24"/>
          <w:szCs w:val="24"/>
        </w:rPr>
        <w:t xml:space="preserve">thereby </w:t>
      </w:r>
      <w:r w:rsidRPr="003712BD">
        <w:rPr>
          <w:rFonts w:cs="Times New Roman"/>
          <w:sz w:val="24"/>
          <w:szCs w:val="24"/>
        </w:rPr>
        <w:t>reducing adversarial contract dynamics​.</w:t>
      </w:r>
    </w:p>
    <w:p w14:paraId="049B1F78" w14:textId="566D779E" w:rsidR="008F6DD7" w:rsidRPr="003712BD" w:rsidRDefault="008F6DD7" w:rsidP="00641DB1">
      <w:pPr>
        <w:pStyle w:val="ListParagraph"/>
        <w:numPr>
          <w:ilvl w:val="0"/>
          <w:numId w:val="52"/>
        </w:numPr>
        <w:spacing w:after="0" w:line="240" w:lineRule="auto"/>
        <w:rPr>
          <w:rFonts w:cs="Times New Roman"/>
          <w:sz w:val="24"/>
          <w:szCs w:val="24"/>
        </w:rPr>
      </w:pPr>
      <w:r w:rsidRPr="003712BD">
        <w:rPr>
          <w:rFonts w:cs="Times New Roman"/>
          <w:sz w:val="24"/>
          <w:szCs w:val="24"/>
        </w:rPr>
        <w:t xml:space="preserve">Include measurable acceptance criteria to minimize disputes over contract performance and </w:t>
      </w:r>
      <w:r w:rsidR="00BE4081">
        <w:rPr>
          <w:rFonts w:cs="Times New Roman"/>
          <w:sz w:val="24"/>
          <w:szCs w:val="24"/>
        </w:rPr>
        <w:t xml:space="preserve">to </w:t>
      </w:r>
      <w:r w:rsidRPr="003712BD">
        <w:rPr>
          <w:rFonts w:cs="Times New Roman"/>
          <w:sz w:val="24"/>
          <w:szCs w:val="24"/>
        </w:rPr>
        <w:t>avoid subjective interpretations​.</w:t>
      </w:r>
    </w:p>
    <w:p w14:paraId="4E12EA20" w14:textId="3D96CA2E" w:rsidR="008F6DD7" w:rsidRPr="003712BD" w:rsidRDefault="008F6DD7" w:rsidP="00641DB1">
      <w:pPr>
        <w:pStyle w:val="ListParagraph"/>
        <w:numPr>
          <w:ilvl w:val="0"/>
          <w:numId w:val="52"/>
        </w:numPr>
        <w:spacing w:after="0" w:line="240" w:lineRule="auto"/>
        <w:rPr>
          <w:rFonts w:cs="Times New Roman"/>
          <w:sz w:val="24"/>
          <w:szCs w:val="24"/>
        </w:rPr>
      </w:pPr>
      <w:r w:rsidRPr="003712BD">
        <w:rPr>
          <w:rFonts w:cs="Times New Roman"/>
          <w:sz w:val="24"/>
          <w:szCs w:val="24"/>
        </w:rPr>
        <w:t xml:space="preserve">Establish mutual indemnity clauses that fairly distribute responsibility for damages, </w:t>
      </w:r>
      <w:r w:rsidR="0017445A">
        <w:rPr>
          <w:rFonts w:cs="Times New Roman"/>
          <w:sz w:val="24"/>
          <w:szCs w:val="24"/>
        </w:rPr>
        <w:t xml:space="preserve">thereby </w:t>
      </w:r>
      <w:r w:rsidRPr="003712BD">
        <w:rPr>
          <w:rFonts w:cs="Times New Roman"/>
          <w:sz w:val="24"/>
          <w:szCs w:val="24"/>
        </w:rPr>
        <w:t>supporting cooperative risk management​​​.</w:t>
      </w:r>
    </w:p>
    <w:p w14:paraId="28E6D076" w14:textId="228359DF" w:rsidR="008F6DD7" w:rsidRDefault="008F6DD7" w:rsidP="00641DB1">
      <w:pPr>
        <w:pStyle w:val="ListParagraph"/>
        <w:numPr>
          <w:ilvl w:val="0"/>
          <w:numId w:val="52"/>
        </w:numPr>
        <w:spacing w:after="0" w:line="240" w:lineRule="auto"/>
        <w:rPr>
          <w:rFonts w:cs="Times New Roman"/>
          <w:sz w:val="24"/>
          <w:szCs w:val="24"/>
        </w:rPr>
      </w:pPr>
      <w:r w:rsidRPr="003712BD">
        <w:rPr>
          <w:rFonts w:cs="Times New Roman"/>
          <w:sz w:val="24"/>
          <w:szCs w:val="24"/>
        </w:rPr>
        <w:t>Define delay-related risk and compensation transparently to foster fair accountability for project delays​​.</w:t>
      </w:r>
    </w:p>
    <w:p w14:paraId="44EBA8AE" w14:textId="77777777" w:rsidR="0017445A" w:rsidRPr="003712BD" w:rsidRDefault="0017445A" w:rsidP="00641DB1">
      <w:pPr>
        <w:pStyle w:val="ListParagraph"/>
        <w:spacing w:after="0" w:line="240" w:lineRule="auto"/>
        <w:rPr>
          <w:rFonts w:cs="Times New Roman"/>
          <w:sz w:val="24"/>
          <w:szCs w:val="24"/>
        </w:rPr>
      </w:pPr>
    </w:p>
    <w:p w14:paraId="3D7D1F21" w14:textId="75FF0EAF" w:rsidR="0017445A" w:rsidRDefault="0017445A" w:rsidP="00641DB1">
      <w:pPr>
        <w:pStyle w:val="Heading2"/>
        <w:spacing w:before="0" w:after="0" w:line="240" w:lineRule="auto"/>
        <w:rPr>
          <w:color w:val="auto"/>
        </w:rPr>
      </w:pPr>
      <w:r>
        <w:rPr>
          <w:color w:val="auto"/>
        </w:rPr>
        <w:t>(8) S</w:t>
      </w:r>
      <w:r w:rsidR="006431B3" w:rsidRPr="003712BD">
        <w:rPr>
          <w:color w:val="auto"/>
        </w:rPr>
        <w:t xml:space="preserve">ave </w:t>
      </w:r>
      <w:r w:rsidRPr="003712BD">
        <w:rPr>
          <w:color w:val="auto"/>
        </w:rPr>
        <w:t>overall project money</w:t>
      </w:r>
      <w:r>
        <w:rPr>
          <w:color w:val="auto"/>
        </w:rPr>
        <w:t>.</w:t>
      </w:r>
    </w:p>
    <w:p w14:paraId="354AFD61" w14:textId="5FF7B8E5" w:rsidR="00CB4D3D" w:rsidRPr="003712BD" w:rsidRDefault="00CB4D3D" w:rsidP="00641DB1">
      <w:pPr>
        <w:pStyle w:val="Heading2"/>
        <w:spacing w:before="0" w:after="0" w:line="240" w:lineRule="auto"/>
        <w:ind w:left="360"/>
        <w:rPr>
          <w:color w:val="auto"/>
        </w:rPr>
      </w:pPr>
      <w:r w:rsidRPr="003712BD">
        <w:rPr>
          <w:color w:val="auto"/>
        </w:rPr>
        <w:t xml:space="preserve">(Project Phase: Feasibility through </w:t>
      </w:r>
      <w:r w:rsidR="00685E05" w:rsidRPr="003712BD">
        <w:rPr>
          <w:color w:val="auto"/>
        </w:rPr>
        <w:t>Turnover</w:t>
      </w:r>
      <w:r w:rsidRPr="003712BD">
        <w:rPr>
          <w:color w:val="auto"/>
        </w:rPr>
        <w:t>)</w:t>
      </w:r>
    </w:p>
    <w:p w14:paraId="605BE30E" w14:textId="1955ACF2" w:rsidR="00694100" w:rsidRPr="003712BD" w:rsidRDefault="00694100" w:rsidP="00641DB1">
      <w:pPr>
        <w:pStyle w:val="ListParagraph"/>
        <w:numPr>
          <w:ilvl w:val="0"/>
          <w:numId w:val="53"/>
        </w:numPr>
        <w:spacing w:after="0" w:line="240" w:lineRule="auto"/>
        <w:rPr>
          <w:rFonts w:cs="Times New Roman"/>
          <w:sz w:val="24"/>
          <w:szCs w:val="24"/>
        </w:rPr>
      </w:pPr>
      <w:r w:rsidRPr="003712BD">
        <w:rPr>
          <w:rFonts w:cs="Times New Roman"/>
          <w:sz w:val="24"/>
          <w:szCs w:val="24"/>
        </w:rPr>
        <w:t xml:space="preserve">Allocate risks to </w:t>
      </w:r>
      <w:r w:rsidR="00BE4081">
        <w:rPr>
          <w:rFonts w:cs="Times New Roman"/>
          <w:sz w:val="24"/>
          <w:szCs w:val="24"/>
        </w:rPr>
        <w:t xml:space="preserve">the </w:t>
      </w:r>
      <w:r w:rsidRPr="003712BD">
        <w:rPr>
          <w:rFonts w:cs="Times New Roman"/>
          <w:sz w:val="24"/>
          <w:szCs w:val="24"/>
        </w:rPr>
        <w:t>part</w:t>
      </w:r>
      <w:r w:rsidR="00BE4081">
        <w:rPr>
          <w:rFonts w:cs="Times New Roman"/>
          <w:sz w:val="24"/>
          <w:szCs w:val="24"/>
        </w:rPr>
        <w:t>y</w:t>
      </w:r>
      <w:r w:rsidR="0017445A">
        <w:rPr>
          <w:rFonts w:cs="Times New Roman"/>
          <w:sz w:val="24"/>
          <w:szCs w:val="24"/>
        </w:rPr>
        <w:t xml:space="preserve"> that </w:t>
      </w:r>
      <w:r w:rsidR="00BE4081">
        <w:rPr>
          <w:rFonts w:cs="Times New Roman"/>
          <w:sz w:val="24"/>
          <w:szCs w:val="24"/>
        </w:rPr>
        <w:t xml:space="preserve">is </w:t>
      </w:r>
      <w:r w:rsidRPr="003712BD">
        <w:rPr>
          <w:rFonts w:cs="Times New Roman"/>
          <w:sz w:val="24"/>
          <w:szCs w:val="24"/>
        </w:rPr>
        <w:t>most equipped to manage them</w:t>
      </w:r>
      <w:r w:rsidR="0017445A">
        <w:rPr>
          <w:rFonts w:cs="Times New Roman"/>
          <w:sz w:val="24"/>
          <w:szCs w:val="24"/>
        </w:rPr>
        <w:t xml:space="preserve"> </w:t>
      </w:r>
      <w:proofErr w:type="gramStart"/>
      <w:r w:rsidR="0017445A">
        <w:rPr>
          <w:rFonts w:cs="Times New Roman"/>
          <w:sz w:val="24"/>
          <w:szCs w:val="24"/>
        </w:rPr>
        <w:t>in order to</w:t>
      </w:r>
      <w:proofErr w:type="gramEnd"/>
      <w:r w:rsidRPr="003712BD">
        <w:rPr>
          <w:rFonts w:cs="Times New Roman"/>
          <w:sz w:val="24"/>
          <w:szCs w:val="24"/>
        </w:rPr>
        <w:t xml:space="preserve"> minimi</w:t>
      </w:r>
      <w:r w:rsidR="0017445A">
        <w:rPr>
          <w:rFonts w:cs="Times New Roman"/>
          <w:sz w:val="24"/>
          <w:szCs w:val="24"/>
        </w:rPr>
        <w:t>ze</w:t>
      </w:r>
      <w:r w:rsidRPr="003712BD">
        <w:rPr>
          <w:rFonts w:cs="Times New Roman"/>
          <w:sz w:val="24"/>
          <w:szCs w:val="24"/>
        </w:rPr>
        <w:t xml:space="preserve"> costly disputes and ensur</w:t>
      </w:r>
      <w:r w:rsidR="0017445A">
        <w:rPr>
          <w:rFonts w:cs="Times New Roman"/>
          <w:sz w:val="24"/>
          <w:szCs w:val="24"/>
        </w:rPr>
        <w:t>e</w:t>
      </w:r>
      <w:r w:rsidRPr="003712BD">
        <w:rPr>
          <w:rFonts w:cs="Times New Roman"/>
          <w:sz w:val="24"/>
          <w:szCs w:val="24"/>
        </w:rPr>
        <w:t xml:space="preserve"> financial stability.</w:t>
      </w:r>
    </w:p>
    <w:p w14:paraId="4022832D" w14:textId="1F37C796" w:rsidR="00694100" w:rsidRPr="003712BD" w:rsidRDefault="00694100" w:rsidP="00641DB1">
      <w:pPr>
        <w:pStyle w:val="ListParagraph"/>
        <w:numPr>
          <w:ilvl w:val="0"/>
          <w:numId w:val="53"/>
        </w:numPr>
        <w:spacing w:after="0" w:line="240" w:lineRule="auto"/>
        <w:rPr>
          <w:rFonts w:cs="Times New Roman"/>
          <w:sz w:val="24"/>
          <w:szCs w:val="24"/>
        </w:rPr>
      </w:pPr>
      <w:r w:rsidRPr="003712BD">
        <w:rPr>
          <w:rFonts w:cs="Times New Roman"/>
          <w:sz w:val="24"/>
          <w:szCs w:val="24"/>
        </w:rPr>
        <w:t>Avoid transferring excessive risks to lower-tier contractors to prevent inflated bids</w:t>
      </w:r>
      <w:r w:rsidR="00BE4081">
        <w:rPr>
          <w:rFonts w:cs="Times New Roman"/>
          <w:sz w:val="24"/>
          <w:szCs w:val="24"/>
        </w:rPr>
        <w:t>, thereby</w:t>
      </w:r>
      <w:r w:rsidRPr="003712BD">
        <w:rPr>
          <w:rFonts w:cs="Times New Roman"/>
          <w:sz w:val="24"/>
          <w:szCs w:val="24"/>
        </w:rPr>
        <w:t xml:space="preserve"> </w:t>
      </w:r>
      <w:r w:rsidR="00BE4081">
        <w:rPr>
          <w:rFonts w:cs="Times New Roman"/>
          <w:sz w:val="24"/>
          <w:szCs w:val="24"/>
        </w:rPr>
        <w:t>ensuring</w:t>
      </w:r>
      <w:r w:rsidRPr="003712BD">
        <w:rPr>
          <w:rFonts w:cs="Times New Roman"/>
          <w:sz w:val="24"/>
          <w:szCs w:val="24"/>
        </w:rPr>
        <w:t xml:space="preserve"> realistic project costs​​.</w:t>
      </w:r>
    </w:p>
    <w:p w14:paraId="070F2F31" w14:textId="4AAE0492" w:rsidR="00694100" w:rsidRPr="003712BD" w:rsidRDefault="00694100" w:rsidP="00641DB1">
      <w:pPr>
        <w:pStyle w:val="ListParagraph"/>
        <w:numPr>
          <w:ilvl w:val="0"/>
          <w:numId w:val="53"/>
        </w:numPr>
        <w:spacing w:after="0" w:line="240" w:lineRule="auto"/>
        <w:rPr>
          <w:rFonts w:cs="Times New Roman"/>
          <w:sz w:val="24"/>
          <w:szCs w:val="24"/>
        </w:rPr>
      </w:pPr>
      <w:r w:rsidRPr="003712BD">
        <w:rPr>
          <w:rFonts w:cs="Times New Roman"/>
          <w:sz w:val="24"/>
          <w:szCs w:val="24"/>
        </w:rPr>
        <w:t xml:space="preserve">Regularly review and adjust risk allocations to adapt to project changes, </w:t>
      </w:r>
      <w:r w:rsidR="00F763DB">
        <w:rPr>
          <w:rFonts w:cs="Times New Roman"/>
          <w:sz w:val="24"/>
          <w:szCs w:val="24"/>
        </w:rPr>
        <w:t xml:space="preserve">thereby </w:t>
      </w:r>
      <w:r w:rsidRPr="003712BD">
        <w:rPr>
          <w:rFonts w:cs="Times New Roman"/>
          <w:sz w:val="24"/>
          <w:szCs w:val="24"/>
        </w:rPr>
        <w:t>reducing unforeseen financial impacts​.</w:t>
      </w:r>
    </w:p>
    <w:p w14:paraId="6C92161B" w14:textId="0BAD6B25" w:rsidR="00694100" w:rsidRPr="003712BD" w:rsidRDefault="00694100" w:rsidP="00641DB1">
      <w:pPr>
        <w:pStyle w:val="ListParagraph"/>
        <w:numPr>
          <w:ilvl w:val="0"/>
          <w:numId w:val="53"/>
        </w:numPr>
        <w:spacing w:after="0" w:line="240" w:lineRule="auto"/>
        <w:rPr>
          <w:rFonts w:cs="Times New Roman"/>
          <w:sz w:val="24"/>
          <w:szCs w:val="24"/>
        </w:rPr>
      </w:pPr>
      <w:r w:rsidRPr="003712BD">
        <w:rPr>
          <w:rFonts w:cs="Times New Roman"/>
          <w:sz w:val="24"/>
          <w:szCs w:val="24"/>
        </w:rPr>
        <w:t>Implement risk assessment worksheets to preemptively identify high-cost risks and align them with capable parties​​​.</w:t>
      </w:r>
    </w:p>
    <w:p w14:paraId="7DB904C1" w14:textId="5A70F45E" w:rsidR="00694100" w:rsidRDefault="00694100" w:rsidP="00641DB1">
      <w:pPr>
        <w:pStyle w:val="ListParagraph"/>
        <w:numPr>
          <w:ilvl w:val="0"/>
          <w:numId w:val="53"/>
        </w:numPr>
        <w:spacing w:after="0" w:line="240" w:lineRule="auto"/>
        <w:rPr>
          <w:rFonts w:cs="Times New Roman"/>
          <w:sz w:val="24"/>
          <w:szCs w:val="24"/>
        </w:rPr>
      </w:pPr>
      <w:r w:rsidRPr="003712BD">
        <w:rPr>
          <w:rFonts w:cs="Times New Roman"/>
          <w:sz w:val="24"/>
          <w:szCs w:val="24"/>
        </w:rPr>
        <w:t>Foster collaborative risk management</w:t>
      </w:r>
      <w:r w:rsidR="00F763DB">
        <w:rPr>
          <w:rFonts w:cs="Times New Roman"/>
          <w:sz w:val="24"/>
          <w:szCs w:val="24"/>
        </w:rPr>
        <w:t xml:space="preserve"> to</w:t>
      </w:r>
      <w:r w:rsidRPr="003712BD">
        <w:rPr>
          <w:rFonts w:cs="Times New Roman"/>
          <w:sz w:val="24"/>
          <w:szCs w:val="24"/>
        </w:rPr>
        <w:t xml:space="preserve"> mitigat</w:t>
      </w:r>
      <w:r w:rsidR="00F763DB">
        <w:rPr>
          <w:rFonts w:cs="Times New Roman"/>
          <w:sz w:val="24"/>
          <w:szCs w:val="24"/>
        </w:rPr>
        <w:t>e the</w:t>
      </w:r>
      <w:r w:rsidRPr="003712BD">
        <w:rPr>
          <w:rFonts w:cs="Times New Roman"/>
          <w:sz w:val="24"/>
          <w:szCs w:val="24"/>
        </w:rPr>
        <w:t xml:space="preserve"> potential costs associated with adversarial contractual relationships​​.</w:t>
      </w:r>
    </w:p>
    <w:p w14:paraId="6A5C9F19" w14:textId="77777777" w:rsidR="00F763DB" w:rsidRPr="003712BD" w:rsidRDefault="00F763DB" w:rsidP="00641DB1">
      <w:pPr>
        <w:pStyle w:val="ListParagraph"/>
        <w:spacing w:after="0" w:line="240" w:lineRule="auto"/>
        <w:rPr>
          <w:rFonts w:cs="Times New Roman"/>
          <w:sz w:val="24"/>
          <w:szCs w:val="24"/>
        </w:rPr>
      </w:pPr>
    </w:p>
    <w:p w14:paraId="67D9D096" w14:textId="69EB5F00" w:rsidR="00F763DB" w:rsidRPr="00CC173C" w:rsidRDefault="00CC173C" w:rsidP="00641DB1">
      <w:pPr>
        <w:pStyle w:val="Heading2"/>
        <w:spacing w:before="0" w:after="0" w:line="240" w:lineRule="auto"/>
        <w:rPr>
          <w:rStyle w:val="Hyperlink"/>
        </w:rPr>
      </w:pPr>
      <w:r>
        <w:fldChar w:fldCharType="begin"/>
      </w:r>
      <w:r>
        <w:instrText>HYPERLINK "https://www.construction-institute.org/equitable-risk-allocation-risk-assessment-worksheets-tutorial"</w:instrText>
      </w:r>
      <w:r>
        <w:fldChar w:fldCharType="separate"/>
      </w:r>
      <w:r w:rsidR="00F763DB" w:rsidRPr="00CC173C">
        <w:rPr>
          <w:rStyle w:val="Hyperlink"/>
        </w:rPr>
        <w:t>(9) T</w:t>
      </w:r>
      <w:r w:rsidR="00DF1316" w:rsidRPr="00CC173C">
        <w:rPr>
          <w:rStyle w:val="Hyperlink"/>
        </w:rPr>
        <w:t xml:space="preserve">ool: Equitable Risk Allocation: Risk Assessment Worksheets Tutorial </w:t>
      </w:r>
    </w:p>
    <w:p w14:paraId="0B2B3398" w14:textId="741EEE77" w:rsidR="001B5CD9" w:rsidRDefault="00CC173C" w:rsidP="00641DB1">
      <w:pPr>
        <w:pStyle w:val="Heading2"/>
        <w:spacing w:before="0" w:after="0" w:line="240" w:lineRule="auto"/>
        <w:ind w:left="360"/>
        <w:rPr>
          <w:color w:val="auto"/>
        </w:rPr>
      </w:pPr>
      <w:r>
        <w:fldChar w:fldCharType="end"/>
      </w:r>
      <w:r w:rsidR="001B5CD9" w:rsidRPr="003712BD">
        <w:rPr>
          <w:color w:val="auto"/>
        </w:rPr>
        <w:t>(Project Phase: Feasibility through</w:t>
      </w:r>
      <w:r w:rsidR="00685E05" w:rsidRPr="003712BD">
        <w:rPr>
          <w:color w:val="auto"/>
        </w:rPr>
        <w:t xml:space="preserve"> Construction</w:t>
      </w:r>
      <w:r w:rsidR="001B5CD9" w:rsidRPr="003712BD">
        <w:rPr>
          <w:color w:val="auto"/>
        </w:rPr>
        <w:t>)</w:t>
      </w:r>
    </w:p>
    <w:p w14:paraId="4D193402" w14:textId="795FF44F" w:rsidR="00F763DB" w:rsidRPr="00F763DB" w:rsidRDefault="00F763DB" w:rsidP="00641DB1">
      <w:pPr>
        <w:spacing w:after="0" w:line="240" w:lineRule="auto"/>
        <w:rPr>
          <w:sz w:val="24"/>
          <w:szCs w:val="24"/>
        </w:rPr>
      </w:pPr>
      <w:r>
        <w:t xml:space="preserve">       </w:t>
      </w:r>
      <w:r>
        <w:rPr>
          <w:sz w:val="24"/>
          <w:szCs w:val="24"/>
        </w:rPr>
        <w:t>This tool is designed to:</w:t>
      </w:r>
    </w:p>
    <w:p w14:paraId="5DE3615C" w14:textId="1AE23083" w:rsidR="00256617" w:rsidRPr="003712BD" w:rsidRDefault="00256617" w:rsidP="00641DB1">
      <w:pPr>
        <w:pStyle w:val="ListParagraph"/>
        <w:numPr>
          <w:ilvl w:val="0"/>
          <w:numId w:val="54"/>
        </w:numPr>
        <w:spacing w:after="0" w:line="240" w:lineRule="auto"/>
        <w:rPr>
          <w:rFonts w:cs="Times New Roman"/>
          <w:sz w:val="24"/>
          <w:szCs w:val="24"/>
        </w:rPr>
      </w:pPr>
      <w:r w:rsidRPr="003712BD">
        <w:rPr>
          <w:rFonts w:cs="Times New Roman"/>
          <w:sz w:val="24"/>
          <w:szCs w:val="24"/>
        </w:rPr>
        <w:t xml:space="preserve">Encourage </w:t>
      </w:r>
      <w:r w:rsidR="00F763DB" w:rsidRPr="003712BD">
        <w:rPr>
          <w:rFonts w:cs="Times New Roman"/>
          <w:sz w:val="24"/>
          <w:szCs w:val="24"/>
        </w:rPr>
        <w:t>risk sharing</w:t>
      </w:r>
      <w:r w:rsidRPr="003712BD">
        <w:rPr>
          <w:rFonts w:cs="Times New Roman"/>
          <w:sz w:val="24"/>
          <w:szCs w:val="24"/>
        </w:rPr>
        <w:t>: Promote</w:t>
      </w:r>
      <w:r w:rsidR="00F763DB">
        <w:rPr>
          <w:rFonts w:cs="Times New Roman"/>
          <w:sz w:val="24"/>
          <w:szCs w:val="24"/>
        </w:rPr>
        <w:t>s</w:t>
      </w:r>
      <w:r w:rsidRPr="003712BD">
        <w:rPr>
          <w:rFonts w:cs="Times New Roman"/>
          <w:sz w:val="24"/>
          <w:szCs w:val="24"/>
        </w:rPr>
        <w:t xml:space="preserve"> cooperative risk allocation to prevent financial strain across all parties in construction projects.</w:t>
      </w:r>
    </w:p>
    <w:p w14:paraId="771AFE01" w14:textId="73A17BB9" w:rsidR="00256617" w:rsidRPr="003712BD" w:rsidRDefault="00BE4081" w:rsidP="00641DB1">
      <w:pPr>
        <w:pStyle w:val="ListParagraph"/>
        <w:numPr>
          <w:ilvl w:val="0"/>
          <w:numId w:val="54"/>
        </w:numPr>
        <w:spacing w:after="0" w:line="240" w:lineRule="auto"/>
        <w:rPr>
          <w:rFonts w:cs="Times New Roman"/>
          <w:sz w:val="24"/>
          <w:szCs w:val="24"/>
        </w:rPr>
      </w:pPr>
      <w:r>
        <w:rPr>
          <w:rFonts w:cs="Times New Roman"/>
          <w:sz w:val="24"/>
          <w:szCs w:val="24"/>
        </w:rPr>
        <w:t>Encourage usage of the</w:t>
      </w:r>
      <w:r w:rsidR="00256617" w:rsidRPr="003712BD">
        <w:rPr>
          <w:rFonts w:cs="Times New Roman"/>
          <w:sz w:val="24"/>
          <w:szCs w:val="24"/>
        </w:rPr>
        <w:t xml:space="preserve"> </w:t>
      </w:r>
      <w:r w:rsidR="00F763DB" w:rsidRPr="003712BD">
        <w:rPr>
          <w:rFonts w:cs="Times New Roman"/>
          <w:sz w:val="24"/>
          <w:szCs w:val="24"/>
        </w:rPr>
        <w:t>risk assessment worksheets</w:t>
      </w:r>
      <w:r w:rsidR="00256617" w:rsidRPr="003712BD">
        <w:rPr>
          <w:rFonts w:cs="Times New Roman"/>
          <w:sz w:val="24"/>
          <w:szCs w:val="24"/>
        </w:rPr>
        <w:t>: Guide</w:t>
      </w:r>
      <w:r w:rsidR="00F763DB">
        <w:rPr>
          <w:rFonts w:cs="Times New Roman"/>
          <w:sz w:val="24"/>
          <w:szCs w:val="24"/>
        </w:rPr>
        <w:t>s</w:t>
      </w:r>
      <w:r w:rsidR="00256617" w:rsidRPr="003712BD">
        <w:rPr>
          <w:rFonts w:cs="Times New Roman"/>
          <w:sz w:val="24"/>
          <w:szCs w:val="24"/>
        </w:rPr>
        <w:t xml:space="preserve"> contracting parties through single-party and two-party worksheets to align risk allocation both internally and externally​​.</w:t>
      </w:r>
    </w:p>
    <w:p w14:paraId="618F68AB" w14:textId="352C7497" w:rsidR="00256617" w:rsidRPr="003712BD" w:rsidRDefault="00256617" w:rsidP="00641DB1">
      <w:pPr>
        <w:pStyle w:val="ListParagraph"/>
        <w:numPr>
          <w:ilvl w:val="0"/>
          <w:numId w:val="54"/>
        </w:numPr>
        <w:spacing w:after="0" w:line="240" w:lineRule="auto"/>
        <w:rPr>
          <w:rFonts w:cs="Times New Roman"/>
          <w:sz w:val="24"/>
          <w:szCs w:val="24"/>
        </w:rPr>
      </w:pPr>
      <w:r w:rsidRPr="003712BD">
        <w:rPr>
          <w:rFonts w:cs="Times New Roman"/>
          <w:sz w:val="24"/>
          <w:szCs w:val="24"/>
        </w:rPr>
        <w:t xml:space="preserve">Identify </w:t>
      </w:r>
      <w:r w:rsidR="00F763DB" w:rsidRPr="003712BD">
        <w:rPr>
          <w:rFonts w:cs="Times New Roman"/>
          <w:sz w:val="24"/>
          <w:szCs w:val="24"/>
        </w:rPr>
        <w:t>common r</w:t>
      </w:r>
      <w:r w:rsidRPr="003712BD">
        <w:rPr>
          <w:rFonts w:cs="Times New Roman"/>
          <w:sz w:val="24"/>
          <w:szCs w:val="24"/>
        </w:rPr>
        <w:t>isks: Address</w:t>
      </w:r>
      <w:r w:rsidR="00F763DB">
        <w:rPr>
          <w:rFonts w:cs="Times New Roman"/>
          <w:sz w:val="24"/>
          <w:szCs w:val="24"/>
        </w:rPr>
        <w:t>es</w:t>
      </w:r>
      <w:r w:rsidRPr="003712BD">
        <w:rPr>
          <w:rFonts w:cs="Times New Roman"/>
          <w:sz w:val="24"/>
          <w:szCs w:val="24"/>
        </w:rPr>
        <w:t xml:space="preserve"> 14 </w:t>
      </w:r>
      <w:proofErr w:type="gramStart"/>
      <w:r w:rsidRPr="003712BD">
        <w:rPr>
          <w:rFonts w:cs="Times New Roman"/>
          <w:sz w:val="24"/>
          <w:szCs w:val="24"/>
        </w:rPr>
        <w:t>hot-button</w:t>
      </w:r>
      <w:proofErr w:type="gramEnd"/>
      <w:r w:rsidRPr="003712BD">
        <w:rPr>
          <w:rFonts w:cs="Times New Roman"/>
          <w:sz w:val="24"/>
          <w:szCs w:val="24"/>
        </w:rPr>
        <w:t xml:space="preserve"> risks that often lead to disputes if </w:t>
      </w:r>
      <w:r w:rsidR="00BE4081">
        <w:rPr>
          <w:rFonts w:cs="Times New Roman"/>
          <w:sz w:val="24"/>
          <w:szCs w:val="24"/>
        </w:rPr>
        <w:t xml:space="preserve">not </w:t>
      </w:r>
      <w:r w:rsidRPr="003712BD">
        <w:rPr>
          <w:rFonts w:cs="Times New Roman"/>
          <w:sz w:val="24"/>
          <w:szCs w:val="24"/>
        </w:rPr>
        <w:t>allocated appropriately​.</w:t>
      </w:r>
    </w:p>
    <w:p w14:paraId="55AF4F26" w14:textId="4BF42F03" w:rsidR="00256617" w:rsidRPr="003712BD" w:rsidRDefault="00256617" w:rsidP="00641DB1">
      <w:pPr>
        <w:pStyle w:val="ListParagraph"/>
        <w:numPr>
          <w:ilvl w:val="0"/>
          <w:numId w:val="54"/>
        </w:numPr>
        <w:spacing w:after="0" w:line="240" w:lineRule="auto"/>
        <w:rPr>
          <w:rFonts w:cs="Times New Roman"/>
          <w:sz w:val="24"/>
          <w:szCs w:val="24"/>
        </w:rPr>
      </w:pPr>
      <w:r w:rsidRPr="003712BD">
        <w:rPr>
          <w:rFonts w:cs="Times New Roman"/>
          <w:sz w:val="24"/>
          <w:szCs w:val="24"/>
        </w:rPr>
        <w:t xml:space="preserve">Support </w:t>
      </w:r>
      <w:r w:rsidR="00F763DB" w:rsidRPr="003712BD">
        <w:rPr>
          <w:rFonts w:cs="Times New Roman"/>
          <w:sz w:val="24"/>
          <w:szCs w:val="24"/>
        </w:rPr>
        <w:t>systematic decision-making</w:t>
      </w:r>
      <w:r w:rsidRPr="003712BD">
        <w:rPr>
          <w:rFonts w:cs="Times New Roman"/>
          <w:sz w:val="24"/>
          <w:szCs w:val="24"/>
        </w:rPr>
        <w:t>: Implement</w:t>
      </w:r>
      <w:r w:rsidR="00F763DB">
        <w:rPr>
          <w:rFonts w:cs="Times New Roman"/>
          <w:sz w:val="24"/>
          <w:szCs w:val="24"/>
        </w:rPr>
        <w:t>s</w:t>
      </w:r>
      <w:r w:rsidRPr="003712BD">
        <w:rPr>
          <w:rFonts w:cs="Times New Roman"/>
          <w:sz w:val="24"/>
          <w:szCs w:val="24"/>
        </w:rPr>
        <w:t xml:space="preserve"> decision trees and principles for structured, fair risk distribution throughout </w:t>
      </w:r>
      <w:r w:rsidR="00F763DB">
        <w:rPr>
          <w:rFonts w:cs="Times New Roman"/>
          <w:sz w:val="24"/>
          <w:szCs w:val="24"/>
        </w:rPr>
        <w:t xml:space="preserve">the </w:t>
      </w:r>
      <w:r w:rsidRPr="003712BD">
        <w:rPr>
          <w:rFonts w:cs="Times New Roman"/>
          <w:sz w:val="24"/>
          <w:szCs w:val="24"/>
        </w:rPr>
        <w:t>project phases​​​.</w:t>
      </w:r>
    </w:p>
    <w:p w14:paraId="185AD918" w14:textId="01851693" w:rsidR="00256617" w:rsidRDefault="00256617" w:rsidP="00641DB1">
      <w:pPr>
        <w:pStyle w:val="ListParagraph"/>
        <w:numPr>
          <w:ilvl w:val="0"/>
          <w:numId w:val="54"/>
        </w:numPr>
        <w:spacing w:after="0" w:line="240" w:lineRule="auto"/>
        <w:rPr>
          <w:rFonts w:cs="Times New Roman"/>
          <w:sz w:val="24"/>
          <w:szCs w:val="24"/>
        </w:rPr>
      </w:pPr>
      <w:r w:rsidRPr="003712BD">
        <w:rPr>
          <w:rFonts w:cs="Times New Roman"/>
          <w:sz w:val="24"/>
          <w:szCs w:val="24"/>
        </w:rPr>
        <w:t xml:space="preserve">Minimize </w:t>
      </w:r>
      <w:r w:rsidR="00F763DB" w:rsidRPr="003712BD">
        <w:rPr>
          <w:rFonts w:cs="Times New Roman"/>
          <w:sz w:val="24"/>
          <w:szCs w:val="24"/>
        </w:rPr>
        <w:t>financial i</w:t>
      </w:r>
      <w:r w:rsidRPr="003712BD">
        <w:rPr>
          <w:rFonts w:cs="Times New Roman"/>
          <w:sz w:val="24"/>
          <w:szCs w:val="24"/>
        </w:rPr>
        <w:t>mpact: Allocate</w:t>
      </w:r>
      <w:r w:rsidR="00F763DB">
        <w:rPr>
          <w:rFonts w:cs="Times New Roman"/>
          <w:sz w:val="24"/>
          <w:szCs w:val="24"/>
        </w:rPr>
        <w:t>s</w:t>
      </w:r>
      <w:r w:rsidRPr="003712BD">
        <w:rPr>
          <w:rFonts w:cs="Times New Roman"/>
          <w:sz w:val="24"/>
          <w:szCs w:val="24"/>
        </w:rPr>
        <w:t xml:space="preserve"> risks to the party best positioned to manage them, </w:t>
      </w:r>
      <w:r w:rsidR="00F763DB">
        <w:rPr>
          <w:rFonts w:cs="Times New Roman"/>
          <w:sz w:val="24"/>
          <w:szCs w:val="24"/>
        </w:rPr>
        <w:t xml:space="preserve">with the aim </w:t>
      </w:r>
      <w:r w:rsidRPr="003712BD">
        <w:rPr>
          <w:rFonts w:cs="Times New Roman"/>
          <w:sz w:val="24"/>
          <w:szCs w:val="24"/>
        </w:rPr>
        <w:t>to reduce financial and operational disruptions​​​.</w:t>
      </w:r>
    </w:p>
    <w:p w14:paraId="7AB72653" w14:textId="77777777" w:rsidR="00F763DB" w:rsidRPr="003712BD" w:rsidRDefault="00F763DB" w:rsidP="00641DB1">
      <w:pPr>
        <w:pStyle w:val="ListParagraph"/>
        <w:spacing w:after="0" w:line="240" w:lineRule="auto"/>
        <w:rPr>
          <w:rFonts w:cs="Times New Roman"/>
          <w:sz w:val="24"/>
          <w:szCs w:val="24"/>
        </w:rPr>
      </w:pPr>
    </w:p>
    <w:p w14:paraId="5F46D18D" w14:textId="059FDF67" w:rsidR="00F763DB" w:rsidRPr="00CC173C" w:rsidRDefault="00CC173C" w:rsidP="00641DB1">
      <w:pPr>
        <w:pStyle w:val="Heading2"/>
        <w:spacing w:before="0" w:after="0" w:line="240" w:lineRule="auto"/>
        <w:rPr>
          <w:rStyle w:val="Hyperlink"/>
        </w:rPr>
      </w:pPr>
      <w:r>
        <w:fldChar w:fldCharType="begin"/>
      </w:r>
      <w:r>
        <w:instrText>HYPERLINK "https://www.construction-institute.org/equitable-risk-allocation-a-legal-perspective"</w:instrText>
      </w:r>
      <w:r>
        <w:fldChar w:fldCharType="separate"/>
      </w:r>
      <w:r w:rsidR="00F763DB" w:rsidRPr="00CC173C">
        <w:rPr>
          <w:rStyle w:val="Hyperlink"/>
        </w:rPr>
        <w:t>(10) T</w:t>
      </w:r>
      <w:r w:rsidR="001377E0" w:rsidRPr="00CC173C">
        <w:rPr>
          <w:rStyle w:val="Hyperlink"/>
        </w:rPr>
        <w:t xml:space="preserve">ool: Equitable Risk Allocation: A Legal Perspective </w:t>
      </w:r>
    </w:p>
    <w:p w14:paraId="677DE019" w14:textId="7B18258F" w:rsidR="001B5CD9" w:rsidRDefault="00CC173C" w:rsidP="00641DB1">
      <w:pPr>
        <w:pStyle w:val="Heading2"/>
        <w:spacing w:before="0" w:after="0" w:line="240" w:lineRule="auto"/>
        <w:ind w:left="360"/>
        <w:rPr>
          <w:color w:val="auto"/>
        </w:rPr>
      </w:pPr>
      <w:r>
        <w:fldChar w:fldCharType="end"/>
      </w:r>
      <w:r w:rsidR="001B5CD9" w:rsidRPr="003712BD">
        <w:rPr>
          <w:color w:val="auto"/>
        </w:rPr>
        <w:t>(Project Phase:</w:t>
      </w:r>
      <w:r w:rsidR="00F54EB4" w:rsidRPr="003712BD">
        <w:rPr>
          <w:color w:val="auto"/>
        </w:rPr>
        <w:t xml:space="preserve"> Feasibility through</w:t>
      </w:r>
      <w:r w:rsidR="00685E05" w:rsidRPr="003712BD">
        <w:rPr>
          <w:color w:val="auto"/>
        </w:rPr>
        <w:t xml:space="preserve"> Construction</w:t>
      </w:r>
      <w:r w:rsidR="001B5CD9" w:rsidRPr="003712BD">
        <w:rPr>
          <w:color w:val="auto"/>
        </w:rPr>
        <w:t>)</w:t>
      </w:r>
    </w:p>
    <w:p w14:paraId="24DCD1FD" w14:textId="2804CBD1" w:rsidR="000866B7" w:rsidRPr="000866B7" w:rsidRDefault="000866B7" w:rsidP="00641DB1">
      <w:pPr>
        <w:spacing w:after="0" w:line="240" w:lineRule="auto"/>
        <w:rPr>
          <w:sz w:val="24"/>
          <w:szCs w:val="24"/>
        </w:rPr>
      </w:pPr>
      <w:r>
        <w:t xml:space="preserve">       </w:t>
      </w:r>
      <w:r w:rsidRPr="000866B7">
        <w:rPr>
          <w:sz w:val="24"/>
          <w:szCs w:val="24"/>
        </w:rPr>
        <w:t>This tool is designed to:</w:t>
      </w:r>
    </w:p>
    <w:p w14:paraId="1182C062" w14:textId="150363D3" w:rsidR="00843566" w:rsidRPr="003712BD" w:rsidRDefault="00843566" w:rsidP="00641DB1">
      <w:pPr>
        <w:pStyle w:val="ListParagraph"/>
        <w:numPr>
          <w:ilvl w:val="0"/>
          <w:numId w:val="55"/>
        </w:numPr>
        <w:spacing w:after="0" w:line="240" w:lineRule="auto"/>
        <w:rPr>
          <w:rFonts w:cs="Times New Roman"/>
          <w:sz w:val="24"/>
          <w:szCs w:val="24"/>
        </w:rPr>
      </w:pPr>
      <w:r w:rsidRPr="003712BD">
        <w:rPr>
          <w:rFonts w:cs="Times New Roman"/>
          <w:sz w:val="24"/>
          <w:szCs w:val="24"/>
        </w:rPr>
        <w:lastRenderedPageBreak/>
        <w:t xml:space="preserve">Highlight </w:t>
      </w:r>
      <w:r w:rsidR="000866B7" w:rsidRPr="003712BD">
        <w:rPr>
          <w:rFonts w:cs="Times New Roman"/>
          <w:sz w:val="24"/>
          <w:szCs w:val="24"/>
        </w:rPr>
        <w:t>risk assessment</w:t>
      </w:r>
      <w:r w:rsidRPr="003712BD">
        <w:rPr>
          <w:rFonts w:cs="Times New Roman"/>
          <w:sz w:val="24"/>
          <w:szCs w:val="24"/>
        </w:rPr>
        <w:t>: Encourage</w:t>
      </w:r>
      <w:r w:rsidR="000866B7">
        <w:rPr>
          <w:rFonts w:cs="Times New Roman"/>
          <w:sz w:val="24"/>
          <w:szCs w:val="24"/>
        </w:rPr>
        <w:t>s</w:t>
      </w:r>
      <w:r w:rsidRPr="003712BD">
        <w:rPr>
          <w:rFonts w:cs="Times New Roman"/>
          <w:sz w:val="24"/>
          <w:szCs w:val="24"/>
        </w:rPr>
        <w:t xml:space="preserve"> collaborative risk allocation early in projects to avoid costs </w:t>
      </w:r>
      <w:r w:rsidR="000866B7">
        <w:rPr>
          <w:rFonts w:cs="Times New Roman"/>
          <w:sz w:val="24"/>
          <w:szCs w:val="24"/>
        </w:rPr>
        <w:t>associated with</w:t>
      </w:r>
      <w:r w:rsidRPr="003712BD">
        <w:rPr>
          <w:rFonts w:cs="Times New Roman"/>
          <w:sz w:val="24"/>
          <w:szCs w:val="24"/>
        </w:rPr>
        <w:t xml:space="preserve"> inappropriate allocation.</w:t>
      </w:r>
    </w:p>
    <w:p w14:paraId="601B25EC" w14:textId="6E5ADAD1" w:rsidR="00843566" w:rsidRPr="003712BD" w:rsidRDefault="00843566" w:rsidP="00641DB1">
      <w:pPr>
        <w:pStyle w:val="ListParagraph"/>
        <w:numPr>
          <w:ilvl w:val="0"/>
          <w:numId w:val="55"/>
        </w:numPr>
        <w:spacing w:after="0" w:line="240" w:lineRule="auto"/>
        <w:rPr>
          <w:rFonts w:cs="Times New Roman"/>
          <w:sz w:val="24"/>
          <w:szCs w:val="24"/>
        </w:rPr>
      </w:pPr>
      <w:r w:rsidRPr="003712BD">
        <w:rPr>
          <w:rFonts w:cs="Times New Roman"/>
          <w:sz w:val="24"/>
          <w:szCs w:val="24"/>
        </w:rPr>
        <w:t xml:space="preserve">Identify </w:t>
      </w:r>
      <w:r w:rsidR="000866B7" w:rsidRPr="003712BD">
        <w:rPr>
          <w:rFonts w:cs="Times New Roman"/>
          <w:sz w:val="24"/>
          <w:szCs w:val="24"/>
        </w:rPr>
        <w:t>key r</w:t>
      </w:r>
      <w:r w:rsidRPr="003712BD">
        <w:rPr>
          <w:rFonts w:cs="Times New Roman"/>
          <w:sz w:val="24"/>
          <w:szCs w:val="24"/>
        </w:rPr>
        <w:t>isks: Focus</w:t>
      </w:r>
      <w:r w:rsidR="000866B7">
        <w:rPr>
          <w:rFonts w:cs="Times New Roman"/>
          <w:sz w:val="24"/>
          <w:szCs w:val="24"/>
        </w:rPr>
        <w:t>es</w:t>
      </w:r>
      <w:r w:rsidRPr="003712BD">
        <w:rPr>
          <w:rFonts w:cs="Times New Roman"/>
          <w:sz w:val="24"/>
          <w:szCs w:val="24"/>
        </w:rPr>
        <w:t xml:space="preserve"> on 14 common hot-button risks, </w:t>
      </w:r>
      <w:r w:rsidR="000866B7">
        <w:rPr>
          <w:rFonts w:cs="Times New Roman"/>
          <w:sz w:val="24"/>
          <w:szCs w:val="24"/>
        </w:rPr>
        <w:t>such as</w:t>
      </w:r>
      <w:r w:rsidRPr="003712BD">
        <w:rPr>
          <w:rFonts w:cs="Times New Roman"/>
          <w:sz w:val="24"/>
          <w:szCs w:val="24"/>
        </w:rPr>
        <w:t xml:space="preserve"> </w:t>
      </w:r>
      <w:r w:rsidR="000866B7">
        <w:rPr>
          <w:rFonts w:cs="Times New Roman"/>
          <w:sz w:val="24"/>
          <w:szCs w:val="24"/>
        </w:rPr>
        <w:t>‘</w:t>
      </w:r>
      <w:r w:rsidRPr="003712BD">
        <w:rPr>
          <w:rFonts w:cs="Times New Roman"/>
          <w:sz w:val="24"/>
          <w:szCs w:val="24"/>
        </w:rPr>
        <w:t>No Damages for Delay</w:t>
      </w:r>
      <w:r w:rsidR="000866B7">
        <w:rPr>
          <w:rFonts w:cs="Times New Roman"/>
          <w:sz w:val="24"/>
          <w:szCs w:val="24"/>
        </w:rPr>
        <w:t>’</w:t>
      </w:r>
      <w:r w:rsidRPr="003712BD">
        <w:rPr>
          <w:rFonts w:cs="Times New Roman"/>
          <w:sz w:val="24"/>
          <w:szCs w:val="24"/>
        </w:rPr>
        <w:t xml:space="preserve"> and </w:t>
      </w:r>
      <w:r w:rsidR="000866B7">
        <w:rPr>
          <w:rFonts w:cs="Times New Roman"/>
          <w:sz w:val="24"/>
          <w:szCs w:val="24"/>
        </w:rPr>
        <w:t>‘</w:t>
      </w:r>
      <w:r w:rsidRPr="003712BD">
        <w:rPr>
          <w:rFonts w:cs="Times New Roman"/>
          <w:sz w:val="24"/>
          <w:szCs w:val="24"/>
        </w:rPr>
        <w:t>Consequential Damages</w:t>
      </w:r>
      <w:r w:rsidR="000866B7">
        <w:rPr>
          <w:rFonts w:cs="Times New Roman"/>
          <w:sz w:val="24"/>
          <w:szCs w:val="24"/>
        </w:rPr>
        <w:t>’</w:t>
      </w:r>
      <w:r w:rsidRPr="003712BD">
        <w:rPr>
          <w:rFonts w:cs="Times New Roman"/>
          <w:sz w:val="24"/>
          <w:szCs w:val="24"/>
        </w:rPr>
        <w:t>, to streamline contract negotiations.</w:t>
      </w:r>
    </w:p>
    <w:p w14:paraId="0C8AC307" w14:textId="4DA6967D" w:rsidR="00843566" w:rsidRPr="003712BD" w:rsidRDefault="00843566" w:rsidP="00641DB1">
      <w:pPr>
        <w:pStyle w:val="ListParagraph"/>
        <w:numPr>
          <w:ilvl w:val="0"/>
          <w:numId w:val="55"/>
        </w:numPr>
        <w:spacing w:after="0" w:line="240" w:lineRule="auto"/>
        <w:rPr>
          <w:rFonts w:cs="Times New Roman"/>
          <w:sz w:val="24"/>
          <w:szCs w:val="24"/>
        </w:rPr>
      </w:pPr>
      <w:r w:rsidRPr="003712BD">
        <w:rPr>
          <w:rFonts w:cs="Times New Roman"/>
          <w:sz w:val="24"/>
          <w:szCs w:val="24"/>
        </w:rPr>
        <w:t xml:space="preserve">Provide </w:t>
      </w:r>
      <w:r w:rsidR="000866B7" w:rsidRPr="003712BD">
        <w:rPr>
          <w:rFonts w:cs="Times New Roman"/>
          <w:sz w:val="24"/>
          <w:szCs w:val="24"/>
        </w:rPr>
        <w:t>contract language guidance</w:t>
      </w:r>
      <w:r w:rsidRPr="003712BD">
        <w:rPr>
          <w:rFonts w:cs="Times New Roman"/>
          <w:sz w:val="24"/>
          <w:szCs w:val="24"/>
        </w:rPr>
        <w:t>: Offer</w:t>
      </w:r>
      <w:r w:rsidR="000866B7">
        <w:rPr>
          <w:rFonts w:cs="Times New Roman"/>
          <w:sz w:val="24"/>
          <w:szCs w:val="24"/>
        </w:rPr>
        <w:t>s</w:t>
      </w:r>
      <w:r w:rsidRPr="003712BD">
        <w:rPr>
          <w:rFonts w:cs="Times New Roman"/>
          <w:sz w:val="24"/>
          <w:szCs w:val="24"/>
        </w:rPr>
        <w:t xml:space="preserve"> language tables to help define risk clauses clearly, </w:t>
      </w:r>
      <w:r w:rsidR="000866B7">
        <w:rPr>
          <w:rFonts w:cs="Times New Roman"/>
          <w:sz w:val="24"/>
          <w:szCs w:val="24"/>
        </w:rPr>
        <w:t xml:space="preserve">with the aim </w:t>
      </w:r>
      <w:proofErr w:type="gramStart"/>
      <w:r w:rsidR="000866B7">
        <w:rPr>
          <w:rFonts w:cs="Times New Roman"/>
          <w:sz w:val="24"/>
          <w:szCs w:val="24"/>
        </w:rPr>
        <w:t>to achieve</w:t>
      </w:r>
      <w:proofErr w:type="gramEnd"/>
      <w:r w:rsidRPr="003712BD">
        <w:rPr>
          <w:rFonts w:cs="Times New Roman"/>
          <w:sz w:val="24"/>
          <w:szCs w:val="24"/>
        </w:rPr>
        <w:t xml:space="preserve"> equitable terms.</w:t>
      </w:r>
    </w:p>
    <w:p w14:paraId="4268936C" w14:textId="100B31B3" w:rsidR="00843566" w:rsidRPr="003712BD" w:rsidRDefault="00843566" w:rsidP="00641DB1">
      <w:pPr>
        <w:pStyle w:val="ListParagraph"/>
        <w:numPr>
          <w:ilvl w:val="0"/>
          <w:numId w:val="55"/>
        </w:numPr>
        <w:spacing w:after="0" w:line="240" w:lineRule="auto"/>
        <w:rPr>
          <w:rFonts w:cs="Times New Roman"/>
          <w:sz w:val="24"/>
          <w:szCs w:val="24"/>
        </w:rPr>
      </w:pPr>
      <w:r w:rsidRPr="003712BD">
        <w:rPr>
          <w:rFonts w:cs="Times New Roman"/>
          <w:sz w:val="24"/>
          <w:szCs w:val="24"/>
        </w:rPr>
        <w:t xml:space="preserve">Use </w:t>
      </w:r>
      <w:r w:rsidR="000866B7" w:rsidRPr="003712BD">
        <w:rPr>
          <w:rFonts w:cs="Times New Roman"/>
          <w:sz w:val="24"/>
          <w:szCs w:val="24"/>
        </w:rPr>
        <w:t>legal references</w:t>
      </w:r>
      <w:r w:rsidRPr="003712BD">
        <w:rPr>
          <w:rFonts w:cs="Times New Roman"/>
          <w:sz w:val="24"/>
          <w:szCs w:val="24"/>
        </w:rPr>
        <w:t>: Suppl</w:t>
      </w:r>
      <w:r w:rsidR="000866B7">
        <w:rPr>
          <w:rFonts w:cs="Times New Roman"/>
          <w:sz w:val="24"/>
          <w:szCs w:val="24"/>
        </w:rPr>
        <w:t>ies</w:t>
      </w:r>
      <w:r w:rsidRPr="003712BD">
        <w:rPr>
          <w:rFonts w:cs="Times New Roman"/>
          <w:sz w:val="24"/>
          <w:szCs w:val="24"/>
        </w:rPr>
        <w:t xml:space="preserve"> flowcharts and case-based guidance to clarify legal perspectives on risk distribution.</w:t>
      </w:r>
    </w:p>
    <w:p w14:paraId="6F040CF6" w14:textId="187E565A" w:rsidR="00843566" w:rsidRPr="003712BD" w:rsidRDefault="00843566" w:rsidP="00641DB1">
      <w:pPr>
        <w:pStyle w:val="ListParagraph"/>
        <w:numPr>
          <w:ilvl w:val="0"/>
          <w:numId w:val="55"/>
        </w:numPr>
        <w:spacing w:after="0" w:line="240" w:lineRule="auto"/>
        <w:rPr>
          <w:rFonts w:cs="Times New Roman"/>
          <w:sz w:val="24"/>
          <w:szCs w:val="24"/>
        </w:rPr>
      </w:pPr>
      <w:r w:rsidRPr="003712BD">
        <w:rPr>
          <w:rFonts w:cs="Times New Roman"/>
          <w:sz w:val="24"/>
          <w:szCs w:val="24"/>
        </w:rPr>
        <w:t xml:space="preserve">Promote </w:t>
      </w:r>
      <w:r w:rsidR="000866B7" w:rsidRPr="003712BD">
        <w:rPr>
          <w:rFonts w:cs="Times New Roman"/>
          <w:sz w:val="24"/>
          <w:szCs w:val="24"/>
        </w:rPr>
        <w:t>risk allocation model</w:t>
      </w:r>
      <w:r w:rsidRPr="003712BD">
        <w:rPr>
          <w:rFonts w:cs="Times New Roman"/>
          <w:sz w:val="24"/>
          <w:szCs w:val="24"/>
        </w:rPr>
        <w:t>: Recommend</w:t>
      </w:r>
      <w:r w:rsidR="000866B7">
        <w:rPr>
          <w:rFonts w:cs="Times New Roman"/>
          <w:sz w:val="24"/>
          <w:szCs w:val="24"/>
        </w:rPr>
        <w:t>s</w:t>
      </w:r>
      <w:r w:rsidRPr="003712BD">
        <w:rPr>
          <w:rFonts w:cs="Times New Roman"/>
          <w:sz w:val="24"/>
          <w:szCs w:val="24"/>
        </w:rPr>
        <w:t xml:space="preserve"> the Two-Party Risk Assessment and Allocation Model as a foundational tool for fair risk management.</w:t>
      </w:r>
    </w:p>
    <w:p w14:paraId="55CAF9DD" w14:textId="77777777" w:rsidR="006C10D5" w:rsidRPr="003712BD" w:rsidRDefault="006C10D5" w:rsidP="00641DB1">
      <w:pPr>
        <w:spacing w:after="0" w:line="240" w:lineRule="auto"/>
        <w:rPr>
          <w:rFonts w:cs="Times New Roman"/>
          <w:sz w:val="24"/>
          <w:szCs w:val="24"/>
        </w:rPr>
      </w:pPr>
    </w:p>
    <w:sectPr w:rsidR="006C10D5" w:rsidRPr="003712BD"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7B763" w14:textId="77777777" w:rsidR="00BC0D6D" w:rsidRDefault="00BC0D6D" w:rsidP="00DA26EF">
      <w:pPr>
        <w:spacing w:after="0" w:line="240" w:lineRule="auto"/>
      </w:pPr>
      <w:r>
        <w:separator/>
      </w:r>
    </w:p>
  </w:endnote>
  <w:endnote w:type="continuationSeparator" w:id="0">
    <w:p w14:paraId="2732CE4C" w14:textId="77777777" w:rsidR="00BC0D6D" w:rsidRDefault="00BC0D6D" w:rsidP="00DA2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1399C" w14:textId="77777777" w:rsidR="00BC0D6D" w:rsidRDefault="00BC0D6D" w:rsidP="00DA26EF">
      <w:pPr>
        <w:spacing w:after="0" w:line="240" w:lineRule="auto"/>
      </w:pPr>
      <w:r>
        <w:separator/>
      </w:r>
    </w:p>
  </w:footnote>
  <w:footnote w:type="continuationSeparator" w:id="0">
    <w:p w14:paraId="07C020E8" w14:textId="77777777" w:rsidR="00BC0D6D" w:rsidRDefault="00BC0D6D" w:rsidP="00DA26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64CE5"/>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A758D"/>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2160F"/>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547DE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344C0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DD154C"/>
    <w:multiLevelType w:val="hybridMultilevel"/>
    <w:tmpl w:val="A3FA4D5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6D3220"/>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84269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12161B"/>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AC0693"/>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FC3BE4"/>
    <w:multiLevelType w:val="hybridMultilevel"/>
    <w:tmpl w:val="B4105FE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16290E"/>
    <w:multiLevelType w:val="hybridMultilevel"/>
    <w:tmpl w:val="E67014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1F63C6"/>
    <w:multiLevelType w:val="hybridMultilevel"/>
    <w:tmpl w:val="B83A2F78"/>
    <w:lvl w:ilvl="0" w:tplc="148C93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0D527D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9B1CB1"/>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E8F2B92"/>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233270"/>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3D6BD5"/>
    <w:multiLevelType w:val="hybridMultilevel"/>
    <w:tmpl w:val="A96C201A"/>
    <w:lvl w:ilvl="0" w:tplc="4FAE4348">
      <w:numFmt w:val="bullet"/>
      <w:lvlText w:val="-"/>
      <w:lvlJc w:val="left"/>
      <w:pPr>
        <w:ind w:left="780" w:hanging="360"/>
      </w:pPr>
      <w:rPr>
        <w:rFonts w:ascii="Times New Roman" w:eastAsiaTheme="majorEastAsia"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4AD80BE9"/>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D606B9"/>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BDD1AD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AC17C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6C68B0"/>
    <w:multiLevelType w:val="hybridMultilevel"/>
    <w:tmpl w:val="D8C0EE8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596D29"/>
    <w:multiLevelType w:val="hybridMultilevel"/>
    <w:tmpl w:val="92125EA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CA75E5"/>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3D1A6D"/>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0CC2A72"/>
    <w:multiLevelType w:val="hybridMultilevel"/>
    <w:tmpl w:val="900497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A05F81"/>
    <w:multiLevelType w:val="hybridMultilevel"/>
    <w:tmpl w:val="27A0944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F37570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42A4629"/>
    <w:multiLevelType w:val="hybridMultilevel"/>
    <w:tmpl w:val="99BC6D2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5616B57"/>
    <w:multiLevelType w:val="hybridMultilevel"/>
    <w:tmpl w:val="19BCBD7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F007787"/>
    <w:multiLevelType w:val="hybridMultilevel"/>
    <w:tmpl w:val="F64A1AE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FB506A8"/>
    <w:multiLevelType w:val="hybridMultilevel"/>
    <w:tmpl w:val="775EB40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28"/>
  </w:num>
  <w:num w:numId="2" w16cid:durableId="1052078125">
    <w:abstractNumId w:val="46"/>
  </w:num>
  <w:num w:numId="3" w16cid:durableId="676617151">
    <w:abstractNumId w:val="50"/>
  </w:num>
  <w:num w:numId="4" w16cid:durableId="562835090">
    <w:abstractNumId w:val="38"/>
  </w:num>
  <w:num w:numId="5" w16cid:durableId="1359504598">
    <w:abstractNumId w:val="23"/>
  </w:num>
  <w:num w:numId="6" w16cid:durableId="1562987232">
    <w:abstractNumId w:val="30"/>
  </w:num>
  <w:num w:numId="7" w16cid:durableId="884367478">
    <w:abstractNumId w:val="32"/>
  </w:num>
  <w:num w:numId="8" w16cid:durableId="1738436825">
    <w:abstractNumId w:val="0"/>
  </w:num>
  <w:num w:numId="9" w16cid:durableId="1936673494">
    <w:abstractNumId w:val="24"/>
  </w:num>
  <w:num w:numId="10" w16cid:durableId="431172331">
    <w:abstractNumId w:val="19"/>
  </w:num>
  <w:num w:numId="11" w16cid:durableId="994726383">
    <w:abstractNumId w:val="4"/>
  </w:num>
  <w:num w:numId="12" w16cid:durableId="1914001632">
    <w:abstractNumId w:val="41"/>
  </w:num>
  <w:num w:numId="13" w16cid:durableId="301545632">
    <w:abstractNumId w:val="1"/>
  </w:num>
  <w:num w:numId="14" w16cid:durableId="2017884132">
    <w:abstractNumId w:val="27"/>
  </w:num>
  <w:num w:numId="15" w16cid:durableId="1776166522">
    <w:abstractNumId w:val="45"/>
  </w:num>
  <w:num w:numId="16" w16cid:durableId="1327244331">
    <w:abstractNumId w:val="22"/>
  </w:num>
  <w:num w:numId="17" w16cid:durableId="820850785">
    <w:abstractNumId w:val="18"/>
  </w:num>
  <w:num w:numId="18" w16cid:durableId="1750813447">
    <w:abstractNumId w:val="20"/>
  </w:num>
  <w:num w:numId="19" w16cid:durableId="1264415857">
    <w:abstractNumId w:val="14"/>
  </w:num>
  <w:num w:numId="20" w16cid:durableId="1491749955">
    <w:abstractNumId w:val="9"/>
  </w:num>
  <w:num w:numId="21" w16cid:durableId="508376827">
    <w:abstractNumId w:val="31"/>
  </w:num>
  <w:num w:numId="22" w16cid:durableId="881601151">
    <w:abstractNumId w:val="52"/>
  </w:num>
  <w:num w:numId="23" w16cid:durableId="63258752">
    <w:abstractNumId w:val="10"/>
  </w:num>
  <w:num w:numId="24" w16cid:durableId="1230532511">
    <w:abstractNumId w:val="36"/>
  </w:num>
  <w:num w:numId="25" w16cid:durableId="888608356">
    <w:abstractNumId w:val="42"/>
  </w:num>
  <w:num w:numId="26" w16cid:durableId="718168758">
    <w:abstractNumId w:val="11"/>
  </w:num>
  <w:num w:numId="27" w16cid:durableId="1580016222">
    <w:abstractNumId w:val="37"/>
  </w:num>
  <w:num w:numId="28" w16cid:durableId="389571904">
    <w:abstractNumId w:val="35"/>
  </w:num>
  <w:num w:numId="29" w16cid:durableId="1449162640">
    <w:abstractNumId w:val="15"/>
  </w:num>
  <w:num w:numId="30" w16cid:durableId="840201578">
    <w:abstractNumId w:val="13"/>
  </w:num>
  <w:num w:numId="31" w16cid:durableId="255138181">
    <w:abstractNumId w:val="7"/>
  </w:num>
  <w:num w:numId="32" w16cid:durableId="1426077296">
    <w:abstractNumId w:val="48"/>
  </w:num>
  <w:num w:numId="33" w16cid:durableId="635765003">
    <w:abstractNumId w:val="33"/>
  </w:num>
  <w:num w:numId="34" w16cid:durableId="1873768057">
    <w:abstractNumId w:val="25"/>
  </w:num>
  <w:num w:numId="35" w16cid:durableId="817309146">
    <w:abstractNumId w:val="2"/>
  </w:num>
  <w:num w:numId="36" w16cid:durableId="29259795">
    <w:abstractNumId w:val="3"/>
  </w:num>
  <w:num w:numId="37" w16cid:durableId="1607805365">
    <w:abstractNumId w:val="5"/>
  </w:num>
  <w:num w:numId="38" w16cid:durableId="1162157170">
    <w:abstractNumId w:val="26"/>
  </w:num>
  <w:num w:numId="39" w16cid:durableId="829491601">
    <w:abstractNumId w:val="21"/>
  </w:num>
  <w:num w:numId="40" w16cid:durableId="775519758">
    <w:abstractNumId w:val="16"/>
  </w:num>
  <w:num w:numId="41" w16cid:durableId="1047029930">
    <w:abstractNumId w:val="6"/>
  </w:num>
  <w:num w:numId="42" w16cid:durableId="706561501">
    <w:abstractNumId w:val="34"/>
  </w:num>
  <w:num w:numId="43" w16cid:durableId="2141067075">
    <w:abstractNumId w:val="12"/>
  </w:num>
  <w:num w:numId="44" w16cid:durableId="31271047">
    <w:abstractNumId w:val="43"/>
  </w:num>
  <w:num w:numId="45" w16cid:durableId="673264387">
    <w:abstractNumId w:val="29"/>
  </w:num>
  <w:num w:numId="46" w16cid:durableId="437066800">
    <w:abstractNumId w:val="47"/>
  </w:num>
  <w:num w:numId="47" w16cid:durableId="1733458100">
    <w:abstractNumId w:val="39"/>
  </w:num>
  <w:num w:numId="48" w16cid:durableId="812872908">
    <w:abstractNumId w:val="51"/>
  </w:num>
  <w:num w:numId="49" w16cid:durableId="1142385406">
    <w:abstractNumId w:val="17"/>
  </w:num>
  <w:num w:numId="50" w16cid:durableId="256183755">
    <w:abstractNumId w:val="40"/>
  </w:num>
  <w:num w:numId="51" w16cid:durableId="1641497369">
    <w:abstractNumId w:val="49"/>
  </w:num>
  <w:num w:numId="52" w16cid:durableId="30033782">
    <w:abstractNumId w:val="44"/>
  </w:num>
  <w:num w:numId="53" w16cid:durableId="1135220893">
    <w:abstractNumId w:val="53"/>
  </w:num>
  <w:num w:numId="54" w16cid:durableId="338822518">
    <w:abstractNumId w:val="54"/>
  </w:num>
  <w:num w:numId="55" w16cid:durableId="12151984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07587"/>
    <w:rsid w:val="00013077"/>
    <w:rsid w:val="00021DF5"/>
    <w:rsid w:val="00025091"/>
    <w:rsid w:val="00036FFA"/>
    <w:rsid w:val="00040547"/>
    <w:rsid w:val="000608AC"/>
    <w:rsid w:val="00066978"/>
    <w:rsid w:val="00085EE4"/>
    <w:rsid w:val="000866B7"/>
    <w:rsid w:val="00090C53"/>
    <w:rsid w:val="00091A32"/>
    <w:rsid w:val="0009338D"/>
    <w:rsid w:val="000B62EF"/>
    <w:rsid w:val="000D7975"/>
    <w:rsid w:val="00103BB5"/>
    <w:rsid w:val="00123DB4"/>
    <w:rsid w:val="001264D3"/>
    <w:rsid w:val="00134D87"/>
    <w:rsid w:val="00135874"/>
    <w:rsid w:val="001377E0"/>
    <w:rsid w:val="00147C89"/>
    <w:rsid w:val="00161681"/>
    <w:rsid w:val="001644FE"/>
    <w:rsid w:val="00167836"/>
    <w:rsid w:val="0017445A"/>
    <w:rsid w:val="00175D8E"/>
    <w:rsid w:val="00175FB9"/>
    <w:rsid w:val="001762EC"/>
    <w:rsid w:val="00177E12"/>
    <w:rsid w:val="00191A51"/>
    <w:rsid w:val="00196911"/>
    <w:rsid w:val="001A2C36"/>
    <w:rsid w:val="001B5CD9"/>
    <w:rsid w:val="001C40B4"/>
    <w:rsid w:val="001C5D88"/>
    <w:rsid w:val="001C764B"/>
    <w:rsid w:val="001C78E6"/>
    <w:rsid w:val="001D54C7"/>
    <w:rsid w:val="001D686C"/>
    <w:rsid w:val="001E399C"/>
    <w:rsid w:val="001F6DBB"/>
    <w:rsid w:val="001F6ECD"/>
    <w:rsid w:val="00206F5F"/>
    <w:rsid w:val="002078D0"/>
    <w:rsid w:val="002147F6"/>
    <w:rsid w:val="00230D98"/>
    <w:rsid w:val="0025066D"/>
    <w:rsid w:val="00256617"/>
    <w:rsid w:val="00272EF8"/>
    <w:rsid w:val="002776DF"/>
    <w:rsid w:val="00297D38"/>
    <w:rsid w:val="002A1BB4"/>
    <w:rsid w:val="002A376F"/>
    <w:rsid w:val="002B3DC2"/>
    <w:rsid w:val="002B75BE"/>
    <w:rsid w:val="002C056D"/>
    <w:rsid w:val="002C2D4B"/>
    <w:rsid w:val="002C7919"/>
    <w:rsid w:val="002D2B58"/>
    <w:rsid w:val="002E7BD5"/>
    <w:rsid w:val="003018C2"/>
    <w:rsid w:val="00305B95"/>
    <w:rsid w:val="003066B9"/>
    <w:rsid w:val="003075B0"/>
    <w:rsid w:val="00323C0E"/>
    <w:rsid w:val="00327DDD"/>
    <w:rsid w:val="00346ADE"/>
    <w:rsid w:val="00350B6A"/>
    <w:rsid w:val="003570CB"/>
    <w:rsid w:val="00360BB4"/>
    <w:rsid w:val="003702F7"/>
    <w:rsid w:val="003712BD"/>
    <w:rsid w:val="00377576"/>
    <w:rsid w:val="003901FE"/>
    <w:rsid w:val="003A311F"/>
    <w:rsid w:val="003B2149"/>
    <w:rsid w:val="003D06D0"/>
    <w:rsid w:val="003D4BFF"/>
    <w:rsid w:val="003E0B86"/>
    <w:rsid w:val="003F79B9"/>
    <w:rsid w:val="00400E9E"/>
    <w:rsid w:val="004026F2"/>
    <w:rsid w:val="00412A7E"/>
    <w:rsid w:val="00420447"/>
    <w:rsid w:val="0042219D"/>
    <w:rsid w:val="00423365"/>
    <w:rsid w:val="00425510"/>
    <w:rsid w:val="00430128"/>
    <w:rsid w:val="00442F94"/>
    <w:rsid w:val="004656F5"/>
    <w:rsid w:val="004B5236"/>
    <w:rsid w:val="004B7D65"/>
    <w:rsid w:val="004C3E1B"/>
    <w:rsid w:val="004C5BA4"/>
    <w:rsid w:val="004E766B"/>
    <w:rsid w:val="00502DCE"/>
    <w:rsid w:val="0051470D"/>
    <w:rsid w:val="005158E6"/>
    <w:rsid w:val="005205BD"/>
    <w:rsid w:val="00521D71"/>
    <w:rsid w:val="00536004"/>
    <w:rsid w:val="00543C90"/>
    <w:rsid w:val="00554F68"/>
    <w:rsid w:val="005559B6"/>
    <w:rsid w:val="00557698"/>
    <w:rsid w:val="00564B80"/>
    <w:rsid w:val="005853B4"/>
    <w:rsid w:val="00597D31"/>
    <w:rsid w:val="005A4F97"/>
    <w:rsid w:val="005B028E"/>
    <w:rsid w:val="005B15B3"/>
    <w:rsid w:val="005B34D0"/>
    <w:rsid w:val="005C24E5"/>
    <w:rsid w:val="005C32EE"/>
    <w:rsid w:val="005D3434"/>
    <w:rsid w:val="005E161A"/>
    <w:rsid w:val="00605512"/>
    <w:rsid w:val="00612571"/>
    <w:rsid w:val="00627BDB"/>
    <w:rsid w:val="00636B48"/>
    <w:rsid w:val="00641DB1"/>
    <w:rsid w:val="00642EA4"/>
    <w:rsid w:val="006431B3"/>
    <w:rsid w:val="0065447C"/>
    <w:rsid w:val="006624D8"/>
    <w:rsid w:val="00662AEB"/>
    <w:rsid w:val="00672818"/>
    <w:rsid w:val="006754B4"/>
    <w:rsid w:val="006801AC"/>
    <w:rsid w:val="00685E05"/>
    <w:rsid w:val="0068783B"/>
    <w:rsid w:val="0069226A"/>
    <w:rsid w:val="00692983"/>
    <w:rsid w:val="00694100"/>
    <w:rsid w:val="006956BA"/>
    <w:rsid w:val="006B0223"/>
    <w:rsid w:val="006B5403"/>
    <w:rsid w:val="006C10D5"/>
    <w:rsid w:val="006C56D3"/>
    <w:rsid w:val="007078EE"/>
    <w:rsid w:val="00737FDF"/>
    <w:rsid w:val="0074160A"/>
    <w:rsid w:val="007505A2"/>
    <w:rsid w:val="007511BF"/>
    <w:rsid w:val="007647BE"/>
    <w:rsid w:val="00767667"/>
    <w:rsid w:val="00791A21"/>
    <w:rsid w:val="0079372A"/>
    <w:rsid w:val="007973FD"/>
    <w:rsid w:val="007A64C2"/>
    <w:rsid w:val="007A6C07"/>
    <w:rsid w:val="007E077B"/>
    <w:rsid w:val="0082144E"/>
    <w:rsid w:val="0082368D"/>
    <w:rsid w:val="00826371"/>
    <w:rsid w:val="00830A5A"/>
    <w:rsid w:val="00830C78"/>
    <w:rsid w:val="00841DA5"/>
    <w:rsid w:val="0084208B"/>
    <w:rsid w:val="00843566"/>
    <w:rsid w:val="00843F7E"/>
    <w:rsid w:val="00850AD4"/>
    <w:rsid w:val="0085257D"/>
    <w:rsid w:val="008525BA"/>
    <w:rsid w:val="008628C2"/>
    <w:rsid w:val="00863457"/>
    <w:rsid w:val="00875253"/>
    <w:rsid w:val="00891D16"/>
    <w:rsid w:val="00893B71"/>
    <w:rsid w:val="008A53A5"/>
    <w:rsid w:val="008A77C5"/>
    <w:rsid w:val="008B097B"/>
    <w:rsid w:val="008C3801"/>
    <w:rsid w:val="008D3281"/>
    <w:rsid w:val="008D5B06"/>
    <w:rsid w:val="008E0C58"/>
    <w:rsid w:val="008F2B50"/>
    <w:rsid w:val="008F6DD7"/>
    <w:rsid w:val="009157BB"/>
    <w:rsid w:val="0092799F"/>
    <w:rsid w:val="00927DED"/>
    <w:rsid w:val="0093107B"/>
    <w:rsid w:val="0093110F"/>
    <w:rsid w:val="00932177"/>
    <w:rsid w:val="009424A3"/>
    <w:rsid w:val="0094338D"/>
    <w:rsid w:val="009456FC"/>
    <w:rsid w:val="00974D5D"/>
    <w:rsid w:val="0098010A"/>
    <w:rsid w:val="00980CE9"/>
    <w:rsid w:val="00981F18"/>
    <w:rsid w:val="00991680"/>
    <w:rsid w:val="009A418F"/>
    <w:rsid w:val="009A4C64"/>
    <w:rsid w:val="009B0C22"/>
    <w:rsid w:val="009C1CAE"/>
    <w:rsid w:val="009C50C6"/>
    <w:rsid w:val="009D0001"/>
    <w:rsid w:val="009D2D19"/>
    <w:rsid w:val="009F4DB8"/>
    <w:rsid w:val="00A00AB3"/>
    <w:rsid w:val="00A00EE1"/>
    <w:rsid w:val="00A1325C"/>
    <w:rsid w:val="00A16877"/>
    <w:rsid w:val="00A16E69"/>
    <w:rsid w:val="00A16F49"/>
    <w:rsid w:val="00A20E61"/>
    <w:rsid w:val="00A23C55"/>
    <w:rsid w:val="00A253C6"/>
    <w:rsid w:val="00A25DF4"/>
    <w:rsid w:val="00A3695B"/>
    <w:rsid w:val="00A4057E"/>
    <w:rsid w:val="00A66266"/>
    <w:rsid w:val="00A709F0"/>
    <w:rsid w:val="00A74088"/>
    <w:rsid w:val="00A8106C"/>
    <w:rsid w:val="00A8500D"/>
    <w:rsid w:val="00A877C6"/>
    <w:rsid w:val="00A90E94"/>
    <w:rsid w:val="00A9209E"/>
    <w:rsid w:val="00AC2212"/>
    <w:rsid w:val="00AC4625"/>
    <w:rsid w:val="00AE5CF1"/>
    <w:rsid w:val="00AF4C99"/>
    <w:rsid w:val="00B043AF"/>
    <w:rsid w:val="00B23294"/>
    <w:rsid w:val="00B42B84"/>
    <w:rsid w:val="00B62935"/>
    <w:rsid w:val="00B708E2"/>
    <w:rsid w:val="00B8360C"/>
    <w:rsid w:val="00BB4802"/>
    <w:rsid w:val="00BB5DEC"/>
    <w:rsid w:val="00BC0D6D"/>
    <w:rsid w:val="00BE4081"/>
    <w:rsid w:val="00C040E9"/>
    <w:rsid w:val="00C33AFE"/>
    <w:rsid w:val="00C40551"/>
    <w:rsid w:val="00C50E46"/>
    <w:rsid w:val="00C5765D"/>
    <w:rsid w:val="00C654B8"/>
    <w:rsid w:val="00C65CE5"/>
    <w:rsid w:val="00C665F2"/>
    <w:rsid w:val="00C706FA"/>
    <w:rsid w:val="00C770FF"/>
    <w:rsid w:val="00C95D58"/>
    <w:rsid w:val="00CB4D3D"/>
    <w:rsid w:val="00CC173C"/>
    <w:rsid w:val="00CC4411"/>
    <w:rsid w:val="00CE0ECA"/>
    <w:rsid w:val="00CE1874"/>
    <w:rsid w:val="00CE1B19"/>
    <w:rsid w:val="00D2439C"/>
    <w:rsid w:val="00D25445"/>
    <w:rsid w:val="00D264CA"/>
    <w:rsid w:val="00D2690D"/>
    <w:rsid w:val="00D270CA"/>
    <w:rsid w:val="00D3224B"/>
    <w:rsid w:val="00D50288"/>
    <w:rsid w:val="00D65E42"/>
    <w:rsid w:val="00D73FB1"/>
    <w:rsid w:val="00D805A5"/>
    <w:rsid w:val="00D83362"/>
    <w:rsid w:val="00D9213E"/>
    <w:rsid w:val="00D93581"/>
    <w:rsid w:val="00DA085F"/>
    <w:rsid w:val="00DA26EF"/>
    <w:rsid w:val="00DC34FA"/>
    <w:rsid w:val="00DC3935"/>
    <w:rsid w:val="00DD186D"/>
    <w:rsid w:val="00DD2D0B"/>
    <w:rsid w:val="00DF1316"/>
    <w:rsid w:val="00E0520F"/>
    <w:rsid w:val="00E11724"/>
    <w:rsid w:val="00E22F8F"/>
    <w:rsid w:val="00E265DF"/>
    <w:rsid w:val="00E34CAB"/>
    <w:rsid w:val="00E35007"/>
    <w:rsid w:val="00E54874"/>
    <w:rsid w:val="00E6414C"/>
    <w:rsid w:val="00E661CF"/>
    <w:rsid w:val="00E6718B"/>
    <w:rsid w:val="00E76CE3"/>
    <w:rsid w:val="00EA1B30"/>
    <w:rsid w:val="00EA5343"/>
    <w:rsid w:val="00EB687D"/>
    <w:rsid w:val="00EB6F30"/>
    <w:rsid w:val="00EC0D03"/>
    <w:rsid w:val="00EC1E4A"/>
    <w:rsid w:val="00ED0B84"/>
    <w:rsid w:val="00ED4BE0"/>
    <w:rsid w:val="00EE12E6"/>
    <w:rsid w:val="00EE13D3"/>
    <w:rsid w:val="00EF6A5F"/>
    <w:rsid w:val="00F26307"/>
    <w:rsid w:val="00F30329"/>
    <w:rsid w:val="00F36B4E"/>
    <w:rsid w:val="00F45B5A"/>
    <w:rsid w:val="00F5025F"/>
    <w:rsid w:val="00F52441"/>
    <w:rsid w:val="00F524A9"/>
    <w:rsid w:val="00F54066"/>
    <w:rsid w:val="00F54EB4"/>
    <w:rsid w:val="00F763DB"/>
    <w:rsid w:val="00F83FAA"/>
    <w:rsid w:val="00F95D92"/>
    <w:rsid w:val="00FB5806"/>
    <w:rsid w:val="00FB7721"/>
    <w:rsid w:val="00FC2903"/>
    <w:rsid w:val="00FC3FE2"/>
    <w:rsid w:val="00FD1620"/>
    <w:rsid w:val="00FD24BE"/>
    <w:rsid w:val="00FE2001"/>
    <w:rsid w:val="00FF0E5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3FB1"/>
    <w:pPr>
      <w:spacing w:after="0"/>
      <w:outlineLvl w:val="0"/>
    </w:pPr>
    <w:rPr>
      <w:rFonts w:cs="Times New Roman"/>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FB1"/>
    <w:rPr>
      <w:rFonts w:cs="Times New Roman"/>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1C5D88"/>
    <w:pPr>
      <w:spacing w:after="0" w:line="240" w:lineRule="auto"/>
    </w:pPr>
  </w:style>
  <w:style w:type="paragraph" w:styleId="Header">
    <w:name w:val="header"/>
    <w:basedOn w:val="Normal"/>
    <w:link w:val="HeaderChar"/>
    <w:uiPriority w:val="99"/>
    <w:unhideWhenUsed/>
    <w:rsid w:val="00DA2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6EF"/>
  </w:style>
  <w:style w:type="paragraph" w:styleId="Footer">
    <w:name w:val="footer"/>
    <w:basedOn w:val="Normal"/>
    <w:link w:val="FooterChar"/>
    <w:uiPriority w:val="99"/>
    <w:unhideWhenUsed/>
    <w:rsid w:val="00DA2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52760381">
      <w:bodyDiv w:val="1"/>
      <w:marLeft w:val="0"/>
      <w:marRight w:val="0"/>
      <w:marTop w:val="0"/>
      <w:marBottom w:val="0"/>
      <w:divBdr>
        <w:top w:val="none" w:sz="0" w:space="0" w:color="auto"/>
        <w:left w:val="none" w:sz="0" w:space="0" w:color="auto"/>
        <w:bottom w:val="none" w:sz="0" w:space="0" w:color="auto"/>
        <w:right w:val="none" w:sz="0" w:space="0" w:color="auto"/>
      </w:divBdr>
    </w:div>
    <w:div w:id="776217158">
      <w:bodyDiv w:val="1"/>
      <w:marLeft w:val="0"/>
      <w:marRight w:val="0"/>
      <w:marTop w:val="0"/>
      <w:marBottom w:val="0"/>
      <w:divBdr>
        <w:top w:val="none" w:sz="0" w:space="0" w:color="auto"/>
        <w:left w:val="none" w:sz="0" w:space="0" w:color="auto"/>
        <w:bottom w:val="none" w:sz="0" w:space="0" w:color="auto"/>
        <w:right w:val="none" w:sz="0" w:space="0" w:color="auto"/>
      </w:divBdr>
    </w:div>
    <w:div w:id="947658396">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09058221">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554152988">
      <w:bodyDiv w:val="1"/>
      <w:marLeft w:val="0"/>
      <w:marRight w:val="0"/>
      <w:marTop w:val="0"/>
      <w:marBottom w:val="0"/>
      <w:divBdr>
        <w:top w:val="none" w:sz="0" w:space="0" w:color="auto"/>
        <w:left w:val="none" w:sz="0" w:space="0" w:color="auto"/>
        <w:bottom w:val="none" w:sz="0" w:space="0" w:color="auto"/>
        <w:right w:val="none" w:sz="0" w:space="0" w:color="auto"/>
      </w:divBdr>
    </w:div>
    <w:div w:id="1645574278">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873685199">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equitable-risk-allo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1093</Words>
  <Characters>7538</Characters>
  <Application>Microsoft Office Word</Application>
  <DocSecurity>0</DocSecurity>
  <Lines>150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20</cp:revision>
  <cp:lastPrinted>2024-11-05T15:53:00Z</cp:lastPrinted>
  <dcterms:created xsi:type="dcterms:W3CDTF">2025-03-04T22:30:00Z</dcterms:created>
  <dcterms:modified xsi:type="dcterms:W3CDTF">2025-03-10T16:25:00Z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